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D2C1" w14:textId="1D3EDD94" w:rsidR="00B928D8" w:rsidRPr="00B928D8" w:rsidRDefault="00BA54CB" w:rsidP="00B928D8">
      <w:pPr>
        <w:spacing w:after="0" w:line="240" w:lineRule="auto"/>
        <w:jc w:val="right"/>
        <w:rPr>
          <w:rFonts w:ascii="Times New Roman" w:hAnsi="Times New Roman" w:cs="Times New Roman"/>
        </w:rPr>
      </w:pPr>
      <w:r>
        <w:rPr>
          <w:rFonts w:ascii="Times New Roman" w:hAnsi="Times New Roman" w:cs="Times New Roman"/>
        </w:rPr>
        <w:t xml:space="preserve">Konkurentsiseaduse </w:t>
      </w:r>
      <w:r w:rsidR="00184AB1">
        <w:rPr>
          <w:rFonts w:ascii="Times New Roman" w:hAnsi="Times New Roman" w:cs="Times New Roman"/>
        </w:rPr>
        <w:t xml:space="preserve">muutmise </w:t>
      </w:r>
      <w:r>
        <w:rPr>
          <w:rFonts w:ascii="Times New Roman" w:hAnsi="Times New Roman" w:cs="Times New Roman"/>
        </w:rPr>
        <w:t>seaduse</w:t>
      </w:r>
      <w:r w:rsidR="00B928D8" w:rsidRPr="00B928D8">
        <w:rPr>
          <w:rFonts w:ascii="Times New Roman" w:hAnsi="Times New Roman" w:cs="Times New Roman"/>
        </w:rPr>
        <w:t xml:space="preserve"> eelnõu</w:t>
      </w:r>
    </w:p>
    <w:p w14:paraId="6CB658D3" w14:textId="6A5F704B" w:rsidR="00ED334D" w:rsidRPr="004F72A5" w:rsidRDefault="00ED334D" w:rsidP="00ED334D">
      <w:pPr>
        <w:spacing w:after="0" w:line="240" w:lineRule="auto"/>
        <w:jc w:val="right"/>
        <w:rPr>
          <w:rFonts w:ascii="Times New Roman" w:hAnsi="Times New Roman" w:cs="Times New Roman"/>
        </w:rPr>
      </w:pPr>
      <w:r w:rsidRPr="004F72A5">
        <w:rPr>
          <w:rFonts w:ascii="Times New Roman" w:hAnsi="Times New Roman" w:cs="Times New Roman"/>
        </w:rPr>
        <w:t xml:space="preserve">seletuskirja </w:t>
      </w:r>
      <w:r w:rsidR="006B41F2">
        <w:rPr>
          <w:rFonts w:ascii="Times New Roman" w:hAnsi="Times New Roman" w:cs="Times New Roman"/>
        </w:rPr>
        <w:t>juurde</w:t>
      </w:r>
    </w:p>
    <w:p w14:paraId="2A7A87A5" w14:textId="43CBD236" w:rsidR="00ED334D" w:rsidRPr="00436974" w:rsidRDefault="00ED334D" w:rsidP="00ED334D">
      <w:pPr>
        <w:spacing w:after="0" w:line="240" w:lineRule="auto"/>
        <w:jc w:val="right"/>
        <w:rPr>
          <w:rFonts w:ascii="Times New Roman" w:hAnsi="Times New Roman" w:cs="Times New Roman"/>
          <w:bCs/>
        </w:rPr>
      </w:pPr>
      <w:r w:rsidRPr="00436974">
        <w:rPr>
          <w:rFonts w:ascii="Times New Roman" w:hAnsi="Times New Roman" w:cs="Times New Roman"/>
          <w:bCs/>
        </w:rPr>
        <w:t>Lisa</w:t>
      </w:r>
      <w:r w:rsidR="00667713" w:rsidRPr="00436974">
        <w:rPr>
          <w:rFonts w:ascii="Times New Roman" w:hAnsi="Times New Roman" w:cs="Times New Roman"/>
          <w:bCs/>
        </w:rPr>
        <w:t xml:space="preserve"> </w:t>
      </w:r>
    </w:p>
    <w:p w14:paraId="6A35AFBE" w14:textId="132C6280" w:rsidR="00B119C3" w:rsidRPr="001E6CFA" w:rsidRDefault="00436974" w:rsidP="005A4CB8">
      <w:pPr>
        <w:spacing w:after="0" w:line="276" w:lineRule="auto"/>
        <w:jc w:val="center"/>
        <w:outlineLvl w:val="0"/>
        <w:rPr>
          <w:rFonts w:ascii="Times New Roman" w:eastAsia="Calibri" w:hAnsi="Times New Roman" w:cs="Times New Roman"/>
          <w:b/>
          <w:sz w:val="24"/>
          <w:szCs w:val="24"/>
        </w:rPr>
      </w:pPr>
      <w:r w:rsidRPr="001E6CFA">
        <w:rPr>
          <w:rFonts w:ascii="Times New Roman" w:eastAsia="Calibri" w:hAnsi="Times New Roman" w:cs="Times New Roman"/>
          <w:b/>
          <w:sz w:val="24"/>
          <w:szCs w:val="24"/>
        </w:rPr>
        <w:t>Kooskõla</w:t>
      </w:r>
      <w:r w:rsidR="001E6CFA" w:rsidRPr="001E6CFA">
        <w:rPr>
          <w:rFonts w:ascii="Times New Roman" w:eastAsia="Calibri" w:hAnsi="Times New Roman" w:cs="Times New Roman"/>
          <w:b/>
          <w:sz w:val="24"/>
          <w:szCs w:val="24"/>
        </w:rPr>
        <w:t>stustabel</w:t>
      </w:r>
    </w:p>
    <w:p w14:paraId="1989DE70" w14:textId="77777777" w:rsidR="00CF6BAC" w:rsidRPr="004F72A5" w:rsidRDefault="00CF6BAC" w:rsidP="00B119C3">
      <w:pPr>
        <w:spacing w:after="0" w:line="276" w:lineRule="auto"/>
        <w:jc w:val="both"/>
        <w:outlineLvl w:val="0"/>
        <w:rPr>
          <w:rFonts w:ascii="Times New Roman" w:eastAsia="Calibri" w:hAnsi="Times New Roman" w:cs="Times New Roman"/>
        </w:rPr>
      </w:pPr>
    </w:p>
    <w:p w14:paraId="472F771E" w14:textId="3DECE366" w:rsidR="00B119C3" w:rsidRPr="00CF708F" w:rsidRDefault="00E74220" w:rsidP="00CF708F">
      <w:pPr>
        <w:jc w:val="both"/>
        <w:rPr>
          <w:rFonts w:ascii="Times New Roman" w:hAnsi="Times New Roman" w:cs="Times New Roman"/>
          <w:b/>
          <w:color w:val="5B9BD5" w:themeColor="accent1"/>
        </w:rPr>
      </w:pPr>
      <w:r>
        <w:rPr>
          <w:rFonts w:ascii="Times New Roman" w:hAnsi="Times New Roman" w:cs="Times New Roman"/>
          <w:b/>
          <w:color w:val="5B9BD5" w:themeColor="accent1"/>
        </w:rPr>
        <w:t>1</w:t>
      </w:r>
      <w:r w:rsidR="00CF708F">
        <w:rPr>
          <w:rFonts w:ascii="Times New Roman" w:hAnsi="Times New Roman" w:cs="Times New Roman"/>
          <w:b/>
          <w:color w:val="5B9BD5" w:themeColor="accent1"/>
        </w:rPr>
        <w:t xml:space="preserve">. </w:t>
      </w:r>
      <w:r w:rsidR="0044374B" w:rsidRPr="00CF708F">
        <w:rPr>
          <w:rFonts w:ascii="Times New Roman" w:hAnsi="Times New Roman" w:cs="Times New Roman"/>
          <w:b/>
          <w:color w:val="5B9BD5" w:themeColor="accent1"/>
        </w:rPr>
        <w:t>Riigiko</w:t>
      </w:r>
      <w:r w:rsidR="009E3072" w:rsidRPr="00CF708F">
        <w:rPr>
          <w:rFonts w:ascii="Times New Roman" w:hAnsi="Times New Roman" w:cs="Times New Roman"/>
          <w:b/>
          <w:color w:val="5B9BD5" w:themeColor="accent1"/>
        </w:rPr>
        <w:t>h</w:t>
      </w:r>
      <w:r w:rsidR="0044374B" w:rsidRPr="00CF708F">
        <w:rPr>
          <w:rFonts w:ascii="Times New Roman" w:hAnsi="Times New Roman" w:cs="Times New Roman"/>
          <w:b/>
          <w:color w:val="5B9BD5" w:themeColor="accent1"/>
        </w:rPr>
        <w:t>us</w:t>
      </w:r>
    </w:p>
    <w:tbl>
      <w:tblPr>
        <w:tblStyle w:val="Kontuurtabel"/>
        <w:tblW w:w="13994" w:type="dxa"/>
        <w:tblLook w:val="04A0" w:firstRow="1" w:lastRow="0" w:firstColumn="1" w:lastColumn="0" w:noHBand="0" w:noVBand="1"/>
      </w:tblPr>
      <w:tblGrid>
        <w:gridCol w:w="745"/>
        <w:gridCol w:w="5291"/>
        <w:gridCol w:w="2319"/>
        <w:gridCol w:w="5639"/>
      </w:tblGrid>
      <w:tr w:rsidR="00B119C3" w:rsidRPr="004F72A5" w14:paraId="1EDD8C35" w14:textId="77777777" w:rsidTr="00967FAE">
        <w:tc>
          <w:tcPr>
            <w:tcW w:w="745" w:type="dxa"/>
          </w:tcPr>
          <w:p w14:paraId="02F99CA8" w14:textId="77777777" w:rsidR="00B119C3" w:rsidRPr="004F72A5" w:rsidRDefault="00B119C3"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291" w:type="dxa"/>
          </w:tcPr>
          <w:p w14:paraId="3CFB9BF1" w14:textId="055774AD" w:rsidR="00B119C3" w:rsidRPr="004F72A5" w:rsidRDefault="005C67E2"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319" w:type="dxa"/>
          </w:tcPr>
          <w:p w14:paraId="1B9A4E43" w14:textId="34C16D76" w:rsidR="00B119C3" w:rsidRPr="004F72A5" w:rsidRDefault="5077A867"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05BF54F2" w:rsidRPr="29EAEF5C">
              <w:rPr>
                <w:rFonts w:ascii="Times New Roman" w:eastAsia="Calibri" w:hAnsi="Times New Roman" w:cs="Times New Roman"/>
                <w:b/>
                <w:bCs/>
              </w:rPr>
              <w:t>-</w:t>
            </w:r>
            <w:r w:rsidRPr="29EAEF5C">
              <w:rPr>
                <w:rFonts w:ascii="Times New Roman" w:eastAsia="Calibri" w:hAnsi="Times New Roman" w:cs="Times New Roman"/>
                <w:b/>
                <w:bCs/>
              </w:rPr>
              <w:t>arvestatud</w:t>
            </w:r>
            <w:r w:rsidR="001A20BA">
              <w:rPr>
                <w:rFonts w:ascii="Times New Roman" w:eastAsia="Calibri" w:hAnsi="Times New Roman" w:cs="Times New Roman"/>
                <w:b/>
                <w:bCs/>
              </w:rPr>
              <w:t>/teadmiseks võetud</w:t>
            </w:r>
          </w:p>
        </w:tc>
        <w:tc>
          <w:tcPr>
            <w:tcW w:w="5639" w:type="dxa"/>
          </w:tcPr>
          <w:p w14:paraId="09B9256D" w14:textId="77777777" w:rsidR="00B119C3" w:rsidRPr="004F72A5" w:rsidRDefault="00B119C3"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B119C3" w:rsidRPr="004F72A5" w14:paraId="52A12BF4" w14:textId="77777777" w:rsidTr="00967FAE">
        <w:tc>
          <w:tcPr>
            <w:tcW w:w="745" w:type="dxa"/>
          </w:tcPr>
          <w:p w14:paraId="34589D47" w14:textId="45F39DA4" w:rsidR="00B119C3" w:rsidRPr="004F72A5" w:rsidRDefault="00F2786E" w:rsidP="00F2786E">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291" w:type="dxa"/>
          </w:tcPr>
          <w:p w14:paraId="6DC5E550" w14:textId="1E23DD6E" w:rsidR="00BE7DC6" w:rsidRDefault="00704CE8" w:rsidP="00AE721E">
            <w:pPr>
              <w:spacing w:line="276" w:lineRule="auto"/>
              <w:outlineLvl w:val="0"/>
              <w:rPr>
                <w:rFonts w:ascii="Times New Roman" w:eastAsia="Calibri" w:hAnsi="Times New Roman" w:cs="Times New Roman"/>
              </w:rPr>
            </w:pPr>
            <w:r w:rsidRPr="00704CE8">
              <w:rPr>
                <w:rFonts w:ascii="Times New Roman" w:eastAsia="Calibri" w:hAnsi="Times New Roman" w:cs="Times New Roman"/>
              </w:rPr>
              <w:t xml:space="preserve">Muudatuse eesmärk on täiendada konkurentsijärelevalvemenetluse algatamata jätmise ja lõpetamise aluseid, nähes ette, et Konkurentsiamet ei algata konkurentsijärelevalvemenetlust või lõpetab selle konkurentsijärelevalvemeedet kohaldamata, kui selleks tuleneb alus määrusest (EL) 2022/1925 (nn Digital Services </w:t>
            </w:r>
            <w:proofErr w:type="spellStart"/>
            <w:r w:rsidRPr="00704CE8">
              <w:rPr>
                <w:rFonts w:ascii="Times New Roman" w:eastAsia="Calibri" w:hAnsi="Times New Roman" w:cs="Times New Roman"/>
              </w:rPr>
              <w:t>Act</w:t>
            </w:r>
            <w:proofErr w:type="spellEnd"/>
            <w:r w:rsidRPr="00704CE8">
              <w:rPr>
                <w:rFonts w:ascii="Times New Roman" w:eastAsia="Calibri" w:hAnsi="Times New Roman" w:cs="Times New Roman"/>
              </w:rPr>
              <w:t xml:space="preserve"> ehk DSA määrus) või määrusest (EL) 2022/2560 (nn </w:t>
            </w:r>
            <w:proofErr w:type="spellStart"/>
            <w:r w:rsidRPr="00704CE8">
              <w:rPr>
                <w:rFonts w:ascii="Times New Roman" w:eastAsia="Calibri" w:hAnsi="Times New Roman" w:cs="Times New Roman"/>
              </w:rPr>
              <w:t>Foreign</w:t>
            </w:r>
            <w:proofErr w:type="spellEnd"/>
            <w:r w:rsidRPr="00704CE8">
              <w:rPr>
                <w:rFonts w:ascii="Times New Roman" w:eastAsia="Calibri" w:hAnsi="Times New Roman" w:cs="Times New Roman"/>
              </w:rPr>
              <w:t xml:space="preserve"> </w:t>
            </w:r>
            <w:proofErr w:type="spellStart"/>
            <w:r w:rsidRPr="00704CE8">
              <w:rPr>
                <w:rFonts w:ascii="Times New Roman" w:eastAsia="Calibri" w:hAnsi="Times New Roman" w:cs="Times New Roman"/>
              </w:rPr>
              <w:t>Subsidies</w:t>
            </w:r>
            <w:proofErr w:type="spellEnd"/>
            <w:r w:rsidRPr="00704CE8">
              <w:rPr>
                <w:rFonts w:ascii="Times New Roman" w:eastAsia="Calibri" w:hAnsi="Times New Roman" w:cs="Times New Roman"/>
              </w:rPr>
              <w:t xml:space="preserve"> </w:t>
            </w:r>
            <w:proofErr w:type="spellStart"/>
            <w:r w:rsidRPr="00704CE8">
              <w:rPr>
                <w:rFonts w:ascii="Times New Roman" w:eastAsia="Calibri" w:hAnsi="Times New Roman" w:cs="Times New Roman"/>
              </w:rPr>
              <w:t>Regulation</w:t>
            </w:r>
            <w:proofErr w:type="spellEnd"/>
            <w:r w:rsidRPr="00704CE8">
              <w:rPr>
                <w:rFonts w:ascii="Times New Roman" w:eastAsia="Calibri" w:hAnsi="Times New Roman" w:cs="Times New Roman"/>
              </w:rPr>
              <w:t xml:space="preserve"> ehk FSR määrus). DSA määrust puudutavalt on seletuskirjas selgitatud, et eeskätt on aluseks, mille esinemisel</w:t>
            </w:r>
            <w:r w:rsidR="002C7FB0">
              <w:rPr>
                <w:rFonts w:ascii="Times New Roman" w:eastAsia="Calibri" w:hAnsi="Times New Roman" w:cs="Times New Roman"/>
              </w:rPr>
              <w:t xml:space="preserve"> </w:t>
            </w:r>
            <w:r w:rsidRPr="00704CE8">
              <w:rPr>
                <w:rFonts w:ascii="Times New Roman" w:eastAsia="Calibri" w:hAnsi="Times New Roman" w:cs="Times New Roman"/>
              </w:rPr>
              <w:t>Konkurentsiamet ei algata</w:t>
            </w:r>
            <w:r w:rsidR="002C7FB0">
              <w:rPr>
                <w:rFonts w:ascii="Times New Roman" w:eastAsia="Calibri" w:hAnsi="Times New Roman" w:cs="Times New Roman"/>
              </w:rPr>
              <w:t xml:space="preserve"> </w:t>
            </w:r>
            <w:r w:rsidRPr="00704CE8">
              <w:rPr>
                <w:rFonts w:ascii="Times New Roman" w:eastAsia="Calibri" w:hAnsi="Times New Roman" w:cs="Times New Roman"/>
              </w:rPr>
              <w:t xml:space="preserve">konkurentsijärelevalvemenetlust või lõpetab selle, art 38 lg 7. Selle kohaselt juhul, kui liikmesriigi pädeval asutusel, kes tagab DSA määruse art 1 </w:t>
            </w:r>
            <w:proofErr w:type="spellStart"/>
            <w:r w:rsidRPr="00704CE8">
              <w:rPr>
                <w:rFonts w:ascii="Times New Roman" w:eastAsia="Calibri" w:hAnsi="Times New Roman" w:cs="Times New Roman"/>
              </w:rPr>
              <w:t>lg-s</w:t>
            </w:r>
            <w:proofErr w:type="spellEnd"/>
            <w:r w:rsidRPr="00704CE8">
              <w:rPr>
                <w:rFonts w:ascii="Times New Roman" w:eastAsia="Calibri" w:hAnsi="Times New Roman" w:cs="Times New Roman"/>
              </w:rPr>
              <w:t xml:space="preserve"> 6 osutatud reeglite täitmise, on liikmesriigi õiguse kohaselt selleks pädevus ja uurimisvolitused, võib ta omal algatusel uurida DSA määruse art 5–7 võimalikku täitmata jätmist oma territooriumil. Sama sätte teise taande kohaselt aga juhul, kui Euroopa Komisjon algatab vastavalt DSA määruse art-le 20 ise menetluse, pole liikmesriigi nimetatud pädeval asutusel õigust uurimist korraldada </w:t>
            </w:r>
            <w:r w:rsidRPr="00704CE8">
              <w:rPr>
                <w:rFonts w:ascii="Times New Roman" w:eastAsia="Calibri" w:hAnsi="Times New Roman" w:cs="Times New Roman"/>
              </w:rPr>
              <w:lastRenderedPageBreak/>
              <w:t xml:space="preserve">või see lõpule viia. Kõnesolev DSA määruse art 38 lg 7 on seletuskirjas välja toodud kui relevantne alus, sest eelnõusse on kavandatud </w:t>
            </w:r>
            <w:proofErr w:type="spellStart"/>
            <w:r w:rsidRPr="00704CE8">
              <w:rPr>
                <w:rFonts w:ascii="Times New Roman" w:eastAsia="Calibri" w:hAnsi="Times New Roman" w:cs="Times New Roman"/>
              </w:rPr>
              <w:t>KonkS</w:t>
            </w:r>
            <w:proofErr w:type="spellEnd"/>
            <w:r w:rsidRPr="00704CE8">
              <w:rPr>
                <w:rFonts w:ascii="Times New Roman" w:eastAsia="Calibri" w:hAnsi="Times New Roman" w:cs="Times New Roman"/>
              </w:rPr>
              <w:t xml:space="preserve"> täiendamine §-ga 78</w:t>
            </w:r>
            <w:r w:rsidRPr="00704CE8">
              <w:rPr>
                <w:rFonts w:ascii="Times New Roman" w:eastAsia="Calibri" w:hAnsi="Times New Roman" w:cs="Times New Roman"/>
                <w:vertAlign w:val="superscript"/>
              </w:rPr>
              <w:t>23</w:t>
            </w:r>
            <w:r w:rsidRPr="00704CE8">
              <w:rPr>
                <w:rFonts w:ascii="Times New Roman" w:eastAsia="Calibri" w:hAnsi="Times New Roman" w:cs="Times New Roman"/>
              </w:rPr>
              <w:t xml:space="preserve">. Selle lg 4 kohaselt saabki Konkurentsiametil olema õigus uurida DSA määruse </w:t>
            </w:r>
            <w:proofErr w:type="spellStart"/>
            <w:r w:rsidRPr="00704CE8">
              <w:rPr>
                <w:rFonts w:ascii="Times New Roman" w:eastAsia="Calibri" w:hAnsi="Times New Roman" w:cs="Times New Roman"/>
              </w:rPr>
              <w:t>art-te</w:t>
            </w:r>
            <w:proofErr w:type="spellEnd"/>
            <w:r w:rsidRPr="00704CE8">
              <w:rPr>
                <w:rFonts w:ascii="Times New Roman" w:eastAsia="Calibri" w:hAnsi="Times New Roman" w:cs="Times New Roman"/>
              </w:rPr>
              <w:t xml:space="preserve"> 5–7 võimalikku täitmata jätmist, algatades selleks konkurentsijärelevalvemenetluse. Seega on kavandatud </w:t>
            </w:r>
            <w:proofErr w:type="spellStart"/>
            <w:r w:rsidRPr="00704CE8">
              <w:rPr>
                <w:rFonts w:ascii="Times New Roman" w:eastAsia="Calibri" w:hAnsi="Times New Roman" w:cs="Times New Roman"/>
              </w:rPr>
              <w:t>KonkS</w:t>
            </w:r>
            <w:proofErr w:type="spellEnd"/>
            <w:r w:rsidRPr="00704CE8">
              <w:rPr>
                <w:rFonts w:ascii="Times New Roman" w:eastAsia="Calibri" w:hAnsi="Times New Roman" w:cs="Times New Roman"/>
              </w:rPr>
              <w:t xml:space="preserve"> § 53</w:t>
            </w:r>
            <w:r w:rsidRPr="00704CE8">
              <w:rPr>
                <w:rFonts w:ascii="Times New Roman" w:eastAsia="Calibri" w:hAnsi="Times New Roman" w:cs="Times New Roman"/>
                <w:vertAlign w:val="superscript"/>
              </w:rPr>
              <w:t>6</w:t>
            </w:r>
            <w:r w:rsidRPr="00704CE8">
              <w:rPr>
                <w:rFonts w:ascii="Times New Roman" w:eastAsia="Calibri" w:hAnsi="Times New Roman" w:cs="Times New Roman"/>
              </w:rPr>
              <w:t xml:space="preserve"> lg 2 p 2</w:t>
            </w:r>
            <w:r w:rsidRPr="00235E74">
              <w:rPr>
                <w:rFonts w:ascii="Times New Roman" w:eastAsia="Calibri" w:hAnsi="Times New Roman" w:cs="Times New Roman"/>
                <w:vertAlign w:val="superscript"/>
              </w:rPr>
              <w:t>1</w:t>
            </w:r>
            <w:r w:rsidRPr="00704CE8">
              <w:rPr>
                <w:rFonts w:ascii="Times New Roman" w:eastAsia="Calibri" w:hAnsi="Times New Roman" w:cs="Times New Roman"/>
              </w:rPr>
              <w:t xml:space="preserve"> seletuskirja kohaselt vajalik, et vältida Konkurentsiameti ja Euroopa Komisjoni paralleelselt toimetatavaid menetlusi.</w:t>
            </w:r>
          </w:p>
          <w:p w14:paraId="5572AA46" w14:textId="77777777" w:rsidR="00662153" w:rsidRDefault="00BE7DC6" w:rsidP="00AE721E">
            <w:pPr>
              <w:spacing w:line="276" w:lineRule="auto"/>
              <w:outlineLvl w:val="0"/>
              <w:rPr>
                <w:rFonts w:ascii="Times New Roman" w:eastAsia="Calibri" w:hAnsi="Times New Roman" w:cs="Times New Roman"/>
              </w:rPr>
            </w:pPr>
            <w:r>
              <w:rPr>
                <w:rFonts w:ascii="Times New Roman" w:eastAsia="Calibri" w:hAnsi="Times New Roman" w:cs="Times New Roman"/>
              </w:rPr>
              <w:t>K</w:t>
            </w:r>
            <w:r w:rsidR="00704CE8" w:rsidRPr="00704CE8">
              <w:rPr>
                <w:rFonts w:ascii="Times New Roman" w:eastAsia="Calibri" w:hAnsi="Times New Roman" w:cs="Times New Roman"/>
              </w:rPr>
              <w:t xml:space="preserve">onkurentsijärelevalvemenetluse eesmärk kehtiva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 53</w:t>
            </w:r>
            <w:r w:rsidR="00704CE8" w:rsidRPr="00704CE8">
              <w:rPr>
                <w:rFonts w:ascii="Times New Roman" w:eastAsia="Calibri" w:hAnsi="Times New Roman" w:cs="Times New Roman"/>
                <w:vertAlign w:val="superscript"/>
              </w:rPr>
              <w:t>5</w:t>
            </w:r>
            <w:r w:rsidR="00704CE8">
              <w:rPr>
                <w:rFonts w:ascii="Times New Roman" w:eastAsia="Calibri" w:hAnsi="Times New Roman" w:cs="Times New Roman"/>
                <w:vertAlign w:val="superscript"/>
              </w:rPr>
              <w:t xml:space="preserve"> </w:t>
            </w:r>
            <w:r w:rsidR="00704CE8" w:rsidRPr="00704CE8">
              <w:rPr>
                <w:rFonts w:ascii="Times New Roman" w:eastAsia="Calibri" w:hAnsi="Times New Roman" w:cs="Times New Roman"/>
              </w:rPr>
              <w:t xml:space="preserve">lg 3 kohaselt on tuvastada keelatud teo toimepanemine ning vajaduse korral kohaldada keelatud teo toime pannud ettevõtjale või ettevõtjate ühendusele konkurentsijärelevalvemeetmeid, et taastada ja säilitada moonutamata konkurents. Seejuures võib eeldada, et keelatud tegu nimetatud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sätte tähenduses on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2. või 4. </w:t>
            </w:r>
            <w:proofErr w:type="spellStart"/>
            <w:r w:rsidR="00704CE8" w:rsidRPr="00704CE8">
              <w:rPr>
                <w:rFonts w:ascii="Times New Roman" w:eastAsia="Calibri" w:hAnsi="Times New Roman" w:cs="Times New Roman"/>
              </w:rPr>
              <w:t>ptk-s</w:t>
            </w:r>
            <w:proofErr w:type="spellEnd"/>
            <w:r w:rsidR="00704CE8" w:rsidRPr="00704CE8">
              <w:rPr>
                <w:rFonts w:ascii="Times New Roman" w:eastAsia="Calibri" w:hAnsi="Times New Roman" w:cs="Times New Roman"/>
              </w:rPr>
              <w:t xml:space="preserve"> või ELTL art-s 101 või 102 sätestatud keelatud tegu – seda saab vaid eeldada, sest ühisnimetaja „keelatud tegu“ defineerib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 78 lg 1, s.o säte, mis kasutab seda ühisnimetajat 76ndal korral pärast selle esmakordset kasutamist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 53</w:t>
            </w:r>
            <w:r w:rsidR="00704CE8" w:rsidRPr="00704CE8">
              <w:rPr>
                <w:rFonts w:ascii="Times New Roman" w:eastAsia="Calibri" w:hAnsi="Times New Roman" w:cs="Times New Roman"/>
                <w:vertAlign w:val="superscript"/>
              </w:rPr>
              <w:t>5</w:t>
            </w:r>
            <w:r w:rsidR="00704CE8" w:rsidRPr="00704CE8">
              <w:rPr>
                <w:rFonts w:ascii="Times New Roman" w:eastAsia="Calibri" w:hAnsi="Times New Roman" w:cs="Times New Roman"/>
              </w:rPr>
              <w:t xml:space="preserve"> </w:t>
            </w:r>
            <w:proofErr w:type="spellStart"/>
            <w:r w:rsidR="00704CE8" w:rsidRPr="00704CE8">
              <w:rPr>
                <w:rFonts w:ascii="Times New Roman" w:eastAsia="Calibri" w:hAnsi="Times New Roman" w:cs="Times New Roman"/>
              </w:rPr>
              <w:t>lg-s</w:t>
            </w:r>
            <w:proofErr w:type="spellEnd"/>
            <w:r w:rsidR="00704CE8" w:rsidRPr="00704CE8">
              <w:rPr>
                <w:rFonts w:ascii="Times New Roman" w:eastAsia="Calibri" w:hAnsi="Times New Roman" w:cs="Times New Roman"/>
              </w:rPr>
              <w:t xml:space="preserve"> 3. Seega saab Konkurentsiamet kehtivast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 53</w:t>
            </w:r>
            <w:r w:rsidR="00704CE8" w:rsidRPr="00704CE8">
              <w:rPr>
                <w:rFonts w:ascii="Times New Roman" w:eastAsia="Calibri" w:hAnsi="Times New Roman" w:cs="Times New Roman"/>
                <w:vertAlign w:val="superscript"/>
              </w:rPr>
              <w:t>5</w:t>
            </w:r>
            <w:r w:rsidR="00704CE8" w:rsidRPr="00704CE8">
              <w:rPr>
                <w:rFonts w:ascii="Times New Roman" w:eastAsia="Calibri" w:hAnsi="Times New Roman" w:cs="Times New Roman"/>
              </w:rPr>
              <w:t xml:space="preserve"> </w:t>
            </w:r>
            <w:proofErr w:type="spellStart"/>
            <w:r w:rsidR="00704CE8" w:rsidRPr="00704CE8">
              <w:rPr>
                <w:rFonts w:ascii="Times New Roman" w:eastAsia="Calibri" w:hAnsi="Times New Roman" w:cs="Times New Roman"/>
              </w:rPr>
              <w:t>lg-st</w:t>
            </w:r>
            <w:proofErr w:type="spellEnd"/>
            <w:r w:rsidR="00704CE8" w:rsidRPr="00704CE8">
              <w:rPr>
                <w:rFonts w:ascii="Times New Roman" w:eastAsia="Calibri" w:hAnsi="Times New Roman" w:cs="Times New Roman"/>
              </w:rPr>
              <w:t xml:space="preserve"> 3 tulenevalt konkurentsijärelevalvemenetluse algatada üksnes </w:t>
            </w:r>
            <w:proofErr w:type="spellStart"/>
            <w:r w:rsidR="00704CE8" w:rsidRPr="00704CE8">
              <w:rPr>
                <w:rFonts w:ascii="Times New Roman" w:eastAsia="Calibri" w:hAnsi="Times New Roman" w:cs="Times New Roman"/>
              </w:rPr>
              <w:t>ettevõtjatevahelise</w:t>
            </w:r>
            <w:proofErr w:type="spellEnd"/>
            <w:r w:rsidR="00704CE8" w:rsidRPr="00704CE8">
              <w:rPr>
                <w:rFonts w:ascii="Times New Roman" w:eastAsia="Calibri" w:hAnsi="Times New Roman" w:cs="Times New Roman"/>
              </w:rPr>
              <w:t xml:space="preserve"> keelatud koostöö või ettevõtja turgu valitseva seisundi kuritarvitamise kahtlusel. Sellele viitab ka kehtiv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 53</w:t>
            </w:r>
            <w:r w:rsidR="00704CE8" w:rsidRPr="00704CE8">
              <w:rPr>
                <w:rFonts w:ascii="Times New Roman" w:eastAsia="Calibri" w:hAnsi="Times New Roman" w:cs="Times New Roman"/>
                <w:vertAlign w:val="superscript"/>
              </w:rPr>
              <w:t>6</w:t>
            </w:r>
            <w:r w:rsidR="00704CE8" w:rsidRPr="00704CE8">
              <w:rPr>
                <w:rFonts w:ascii="Times New Roman" w:eastAsia="Calibri" w:hAnsi="Times New Roman" w:cs="Times New Roman"/>
              </w:rPr>
              <w:t xml:space="preserve"> lg 1 p 1, mis sätestab, et Konkurentsiamet saab esimese konkurentsijärelevalvemenetlust algatava menetlustoimingu teha siis, kui ilmnenud teave viitab keelatud teo toimepanemisele. DSA määruse </w:t>
            </w:r>
            <w:r w:rsidR="00704CE8" w:rsidRPr="00704CE8">
              <w:rPr>
                <w:rFonts w:ascii="Times New Roman" w:eastAsia="Calibri" w:hAnsi="Times New Roman" w:cs="Times New Roman"/>
              </w:rPr>
              <w:lastRenderedPageBreak/>
              <w:t xml:space="preserve">reguleerimisalas olevad pääsuvalitseja kohustused võivad küll täitmata jätmisel kujutada endast ka </w:t>
            </w:r>
            <w:proofErr w:type="spellStart"/>
            <w:r w:rsidR="00704CE8" w:rsidRPr="00704CE8">
              <w:rPr>
                <w:rFonts w:ascii="Times New Roman" w:eastAsia="Calibri" w:hAnsi="Times New Roman" w:cs="Times New Roman"/>
              </w:rPr>
              <w:t>KonkS</w:t>
            </w:r>
            <w:proofErr w:type="spellEnd"/>
            <w:r w:rsidR="00704CE8" w:rsidRPr="00704CE8">
              <w:rPr>
                <w:rFonts w:ascii="Times New Roman" w:eastAsia="Calibri" w:hAnsi="Times New Roman" w:cs="Times New Roman"/>
              </w:rPr>
              <w:t xml:space="preserve"> tähenduses keelatud tegu, kuid ei pruugi (vt DSA määruse põhjenduspunkte 5, 10 ja 11). Seega selleks, et DSA määruse art 5–7 täitmise tagamise eesmärgil osutuks asjakohaseks menetluseks konkurentsijärelevalvemenetlus, tuleks õigusselguse põhi</w:t>
            </w:r>
            <w:r w:rsidR="00AE721E" w:rsidRPr="00AE721E">
              <w:rPr>
                <w:rFonts w:ascii="Times New Roman" w:eastAsia="Calibri" w:hAnsi="Times New Roman" w:cs="Times New Roman"/>
              </w:rPr>
              <w:t xml:space="preserve">mõttest lähtuvalt hinnata, kas oleks mõistlik või vajalik kehtivas </w:t>
            </w:r>
            <w:proofErr w:type="spellStart"/>
            <w:r w:rsidR="00AE721E" w:rsidRPr="00AE721E">
              <w:rPr>
                <w:rFonts w:ascii="Times New Roman" w:eastAsia="Calibri" w:hAnsi="Times New Roman" w:cs="Times New Roman"/>
              </w:rPr>
              <w:t>KonkS</w:t>
            </w:r>
            <w:proofErr w:type="spellEnd"/>
            <w:r w:rsidR="00AE721E" w:rsidRPr="00AE721E">
              <w:rPr>
                <w:rFonts w:ascii="Times New Roman" w:eastAsia="Calibri" w:hAnsi="Times New Roman" w:cs="Times New Roman"/>
              </w:rPr>
              <w:t xml:space="preserve"> § 53</w:t>
            </w:r>
            <w:r w:rsidR="00AE721E" w:rsidRPr="00AE721E">
              <w:rPr>
                <w:rFonts w:ascii="Times New Roman" w:eastAsia="Calibri" w:hAnsi="Times New Roman" w:cs="Times New Roman"/>
                <w:vertAlign w:val="superscript"/>
              </w:rPr>
              <w:t>5</w:t>
            </w:r>
            <w:r w:rsidR="00AE721E" w:rsidRPr="00AE721E">
              <w:rPr>
                <w:rFonts w:ascii="Times New Roman" w:eastAsia="Calibri" w:hAnsi="Times New Roman" w:cs="Times New Roman"/>
              </w:rPr>
              <w:t xml:space="preserve"> </w:t>
            </w:r>
            <w:proofErr w:type="spellStart"/>
            <w:r w:rsidR="00AE721E" w:rsidRPr="00AE721E">
              <w:rPr>
                <w:rFonts w:ascii="Times New Roman" w:eastAsia="Calibri" w:hAnsi="Times New Roman" w:cs="Times New Roman"/>
              </w:rPr>
              <w:t>lg-s</w:t>
            </w:r>
            <w:proofErr w:type="spellEnd"/>
            <w:r w:rsidR="00AE721E" w:rsidRPr="00AE721E">
              <w:rPr>
                <w:rFonts w:ascii="Times New Roman" w:eastAsia="Calibri" w:hAnsi="Times New Roman" w:cs="Times New Roman"/>
              </w:rPr>
              <w:t xml:space="preserve"> 3 sätestatud konkurentsijärelevalvemenetluse eesmärki täiendada. </w:t>
            </w:r>
          </w:p>
          <w:p w14:paraId="011BBA2E" w14:textId="77777777" w:rsidR="00662153" w:rsidRDefault="00662153" w:rsidP="00AE721E">
            <w:pPr>
              <w:spacing w:line="276" w:lineRule="auto"/>
              <w:outlineLvl w:val="0"/>
              <w:rPr>
                <w:rFonts w:ascii="Times New Roman" w:eastAsia="Calibri" w:hAnsi="Times New Roman" w:cs="Times New Roman"/>
              </w:rPr>
            </w:pPr>
          </w:p>
          <w:p w14:paraId="46968655" w14:textId="752D38C1" w:rsidR="00B119C3" w:rsidRPr="004F72A5" w:rsidRDefault="00B119C3" w:rsidP="00AE721E">
            <w:pPr>
              <w:spacing w:line="276" w:lineRule="auto"/>
              <w:outlineLvl w:val="0"/>
              <w:rPr>
                <w:rFonts w:ascii="Times New Roman" w:eastAsia="Calibri" w:hAnsi="Times New Roman" w:cs="Times New Roman"/>
              </w:rPr>
            </w:pPr>
          </w:p>
        </w:tc>
        <w:tc>
          <w:tcPr>
            <w:tcW w:w="2319" w:type="dxa"/>
          </w:tcPr>
          <w:p w14:paraId="17AC470B" w14:textId="49D30393" w:rsidR="00B119C3" w:rsidRPr="0015316B" w:rsidRDefault="00737335" w:rsidP="001F6603">
            <w:pPr>
              <w:spacing w:line="276" w:lineRule="auto"/>
              <w:jc w:val="both"/>
              <w:outlineLvl w:val="0"/>
              <w:rPr>
                <w:rFonts w:ascii="Times New Roman" w:eastAsia="Calibri" w:hAnsi="Times New Roman" w:cs="Times New Roman"/>
                <w:b/>
                <w:bCs/>
              </w:rPr>
            </w:pPr>
            <w:r w:rsidRPr="0015316B">
              <w:rPr>
                <w:rFonts w:ascii="Times New Roman" w:eastAsia="Calibri" w:hAnsi="Times New Roman" w:cs="Times New Roman"/>
                <w:b/>
                <w:bCs/>
              </w:rPr>
              <w:lastRenderedPageBreak/>
              <w:t>Arvestatud</w:t>
            </w:r>
          </w:p>
        </w:tc>
        <w:tc>
          <w:tcPr>
            <w:tcW w:w="5639" w:type="dxa"/>
          </w:tcPr>
          <w:p w14:paraId="060D5FDC" w14:textId="6B76F40B" w:rsidR="00704CE8" w:rsidRPr="00B62AC8" w:rsidRDefault="00C27BC6"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Riigikohtu arvamuses on</w:t>
            </w:r>
            <w:r w:rsidR="00DB6A50">
              <w:rPr>
                <w:rFonts w:ascii="Times New Roman" w:eastAsia="Calibri" w:hAnsi="Times New Roman" w:cs="Times New Roman"/>
              </w:rPr>
              <w:t xml:space="preserve"> nõukogu</w:t>
            </w:r>
            <w:r>
              <w:rPr>
                <w:rFonts w:ascii="Times New Roman" w:eastAsia="Calibri" w:hAnsi="Times New Roman" w:cs="Times New Roman"/>
              </w:rPr>
              <w:t xml:space="preserve"> </w:t>
            </w:r>
            <w:r w:rsidR="000402D1" w:rsidRPr="000402D1">
              <w:rPr>
                <w:rFonts w:ascii="Times New Roman" w:eastAsia="Calibri" w:hAnsi="Times New Roman" w:cs="Times New Roman"/>
              </w:rPr>
              <w:t>määruse</w:t>
            </w:r>
            <w:r>
              <w:rPr>
                <w:rFonts w:ascii="Times New Roman" w:eastAsia="Calibri" w:hAnsi="Times New Roman" w:cs="Times New Roman"/>
              </w:rPr>
              <w:t xml:space="preserve">le </w:t>
            </w:r>
            <w:r w:rsidR="000402D1" w:rsidRPr="000402D1">
              <w:rPr>
                <w:rFonts w:ascii="Times New Roman" w:eastAsia="Calibri" w:hAnsi="Times New Roman" w:cs="Times New Roman"/>
              </w:rPr>
              <w:t>(EL) 2022/1925</w:t>
            </w:r>
            <w:r w:rsidR="00DB6A50">
              <w:rPr>
                <w:rFonts w:ascii="Times New Roman" w:eastAsia="Calibri" w:hAnsi="Times New Roman" w:cs="Times New Roman"/>
              </w:rPr>
              <w:t xml:space="preserve"> viidatud kui </w:t>
            </w:r>
            <w:r w:rsidR="00DB6A50" w:rsidRPr="00DB6A50">
              <w:rPr>
                <w:rFonts w:ascii="Times New Roman" w:eastAsia="Calibri" w:hAnsi="Times New Roman" w:cs="Times New Roman"/>
                <w:i/>
                <w:iCs/>
              </w:rPr>
              <w:t xml:space="preserve">Digital Services </w:t>
            </w:r>
            <w:proofErr w:type="spellStart"/>
            <w:r w:rsidR="00DB6A50" w:rsidRPr="00DB6A50">
              <w:rPr>
                <w:rFonts w:ascii="Times New Roman" w:eastAsia="Calibri" w:hAnsi="Times New Roman" w:cs="Times New Roman"/>
                <w:i/>
                <w:iCs/>
              </w:rPr>
              <w:t>Act</w:t>
            </w:r>
            <w:proofErr w:type="spellEnd"/>
            <w:r w:rsidR="00DB6A50" w:rsidRPr="00DB6A50">
              <w:rPr>
                <w:rFonts w:ascii="Times New Roman" w:eastAsia="Calibri" w:hAnsi="Times New Roman" w:cs="Times New Roman"/>
              </w:rPr>
              <w:t xml:space="preserve"> ehk </w:t>
            </w:r>
            <w:r w:rsidR="00DB6A50" w:rsidRPr="00DB6A50">
              <w:rPr>
                <w:rFonts w:ascii="Times New Roman" w:eastAsia="Calibri" w:hAnsi="Times New Roman" w:cs="Times New Roman"/>
                <w:i/>
                <w:iCs/>
              </w:rPr>
              <w:t>DSA</w:t>
            </w:r>
            <w:r w:rsidR="00DB6A50" w:rsidRPr="00DB6A50">
              <w:rPr>
                <w:rFonts w:ascii="Times New Roman" w:eastAsia="Calibri" w:hAnsi="Times New Roman" w:cs="Times New Roman"/>
              </w:rPr>
              <w:t xml:space="preserve"> määrus</w:t>
            </w:r>
            <w:r w:rsidR="00DB6A50">
              <w:rPr>
                <w:rFonts w:ascii="Times New Roman" w:eastAsia="Calibri" w:hAnsi="Times New Roman" w:cs="Times New Roman"/>
              </w:rPr>
              <w:t>ele</w:t>
            </w:r>
            <w:r w:rsidR="00741F93">
              <w:rPr>
                <w:rFonts w:ascii="Times New Roman" w:eastAsia="Calibri" w:hAnsi="Times New Roman" w:cs="Times New Roman"/>
              </w:rPr>
              <w:t xml:space="preserve">, mille puhul on aga tegemist teise ELi </w:t>
            </w:r>
            <w:r w:rsidR="00557EDA">
              <w:rPr>
                <w:rFonts w:ascii="Times New Roman" w:eastAsia="Calibri" w:hAnsi="Times New Roman" w:cs="Times New Roman"/>
              </w:rPr>
              <w:t>õigusaktiga</w:t>
            </w:r>
            <w:r w:rsidR="00741F93">
              <w:rPr>
                <w:rFonts w:ascii="Times New Roman" w:eastAsia="Calibri" w:hAnsi="Times New Roman" w:cs="Times New Roman"/>
              </w:rPr>
              <w:t xml:space="preserve"> </w:t>
            </w:r>
            <w:r w:rsidR="00AB57EB">
              <w:rPr>
                <w:rFonts w:ascii="Times New Roman" w:eastAsia="Calibri" w:hAnsi="Times New Roman" w:cs="Times New Roman"/>
              </w:rPr>
              <w:t>–</w:t>
            </w:r>
            <w:r w:rsidR="00741F93">
              <w:rPr>
                <w:rFonts w:ascii="Times New Roman" w:eastAsia="Calibri" w:hAnsi="Times New Roman" w:cs="Times New Roman"/>
              </w:rPr>
              <w:t xml:space="preserve"> </w:t>
            </w:r>
            <w:r w:rsidR="00AB57EB">
              <w:rPr>
                <w:rFonts w:ascii="Times New Roman" w:eastAsia="Calibri" w:hAnsi="Times New Roman" w:cs="Times New Roman"/>
              </w:rPr>
              <w:t>nõukogu määrus</w:t>
            </w:r>
            <w:r w:rsidR="00D91F3C">
              <w:rPr>
                <w:rFonts w:ascii="Times New Roman" w:eastAsia="Calibri" w:hAnsi="Times New Roman" w:cs="Times New Roman"/>
              </w:rPr>
              <w:t>ega</w:t>
            </w:r>
            <w:r w:rsidR="00AB57EB">
              <w:rPr>
                <w:rFonts w:ascii="Times New Roman" w:eastAsia="Calibri" w:hAnsi="Times New Roman" w:cs="Times New Roman"/>
              </w:rPr>
              <w:t xml:space="preserve"> </w:t>
            </w:r>
            <w:r w:rsidR="00AB57EB" w:rsidRPr="00B62AC8">
              <w:rPr>
                <w:rFonts w:ascii="Times New Roman" w:eastAsia="Calibri" w:hAnsi="Times New Roman" w:cs="Times New Roman"/>
              </w:rPr>
              <w:t>2022/2065 (</w:t>
            </w:r>
            <w:r w:rsidR="00AB57EB" w:rsidRPr="00557EDA">
              <w:rPr>
                <w:rFonts w:ascii="Times New Roman" w:eastAsia="Calibri" w:hAnsi="Times New Roman" w:cs="Times New Roman"/>
                <w:i/>
                <w:iCs/>
                <w:u w:val="single"/>
              </w:rPr>
              <w:t>digiteenuste</w:t>
            </w:r>
            <w:r w:rsidR="00AB57EB" w:rsidRPr="00B62AC8">
              <w:rPr>
                <w:rFonts w:ascii="Times New Roman" w:eastAsia="Calibri" w:hAnsi="Times New Roman" w:cs="Times New Roman"/>
              </w:rPr>
              <w:t xml:space="preserve"> määrus). </w:t>
            </w:r>
            <w:r w:rsidR="00D91F3C" w:rsidRPr="00B62AC8">
              <w:rPr>
                <w:rFonts w:ascii="Times New Roman" w:eastAsia="Calibri" w:hAnsi="Times New Roman" w:cs="Times New Roman"/>
              </w:rPr>
              <w:t xml:space="preserve">Eelnõu </w:t>
            </w:r>
            <w:r w:rsidR="008B49AE" w:rsidRPr="00B62AC8">
              <w:rPr>
                <w:rFonts w:ascii="Times New Roman" w:eastAsia="Calibri" w:hAnsi="Times New Roman" w:cs="Times New Roman"/>
              </w:rPr>
              <w:t xml:space="preserve">reguleerib Konkurentsiameti koostööd Euroopa Komisjoniga </w:t>
            </w:r>
            <w:r w:rsidR="008B49AE" w:rsidRPr="00730963">
              <w:rPr>
                <w:rFonts w:ascii="Times New Roman" w:eastAsia="Calibri" w:hAnsi="Times New Roman" w:cs="Times New Roman"/>
                <w:i/>
                <w:iCs/>
                <w:u w:val="single"/>
              </w:rPr>
              <w:t>digiturgude</w:t>
            </w:r>
            <w:r w:rsidR="008B49AE" w:rsidRPr="00B62AC8">
              <w:rPr>
                <w:rFonts w:ascii="Times New Roman" w:eastAsia="Calibri" w:hAnsi="Times New Roman" w:cs="Times New Roman"/>
              </w:rPr>
              <w:t xml:space="preserve"> määruse järgi (ingl </w:t>
            </w:r>
            <w:r w:rsidR="008B49AE" w:rsidRPr="00B62AC8">
              <w:rPr>
                <w:rFonts w:ascii="Times New Roman" w:eastAsia="Calibri" w:hAnsi="Times New Roman" w:cs="Times New Roman"/>
                <w:i/>
                <w:iCs/>
              </w:rPr>
              <w:t xml:space="preserve">Digital </w:t>
            </w:r>
            <w:proofErr w:type="spellStart"/>
            <w:r w:rsidR="008B49AE" w:rsidRPr="00B62AC8">
              <w:rPr>
                <w:rFonts w:ascii="Times New Roman" w:eastAsia="Calibri" w:hAnsi="Times New Roman" w:cs="Times New Roman"/>
                <w:i/>
                <w:iCs/>
              </w:rPr>
              <w:t>Markets</w:t>
            </w:r>
            <w:proofErr w:type="spellEnd"/>
            <w:r w:rsidR="008B49AE" w:rsidRPr="00B62AC8">
              <w:rPr>
                <w:rFonts w:ascii="Times New Roman" w:eastAsia="Calibri" w:hAnsi="Times New Roman" w:cs="Times New Roman"/>
                <w:i/>
                <w:iCs/>
              </w:rPr>
              <w:t xml:space="preserve"> </w:t>
            </w:r>
            <w:proofErr w:type="spellStart"/>
            <w:r w:rsidR="008B49AE" w:rsidRPr="00B62AC8">
              <w:rPr>
                <w:rFonts w:ascii="Times New Roman" w:eastAsia="Calibri" w:hAnsi="Times New Roman" w:cs="Times New Roman"/>
                <w:i/>
                <w:iCs/>
              </w:rPr>
              <w:t>Act</w:t>
            </w:r>
            <w:proofErr w:type="spellEnd"/>
            <w:r w:rsidR="008B49AE" w:rsidRPr="00B62AC8">
              <w:rPr>
                <w:rFonts w:ascii="Times New Roman" w:eastAsia="Calibri" w:hAnsi="Times New Roman" w:cs="Times New Roman"/>
              </w:rPr>
              <w:t xml:space="preserve"> ehk </w:t>
            </w:r>
            <w:r w:rsidR="008B49AE" w:rsidRPr="00B62AC8">
              <w:rPr>
                <w:rFonts w:ascii="Times New Roman" w:eastAsia="Calibri" w:hAnsi="Times New Roman" w:cs="Times New Roman"/>
                <w:i/>
                <w:iCs/>
              </w:rPr>
              <w:t>DMA</w:t>
            </w:r>
            <w:r w:rsidR="008B49AE" w:rsidRPr="00B62AC8">
              <w:rPr>
                <w:rFonts w:ascii="Times New Roman" w:eastAsia="Calibri" w:hAnsi="Times New Roman" w:cs="Times New Roman"/>
              </w:rPr>
              <w:t xml:space="preserve"> määrus).  </w:t>
            </w:r>
            <w:r w:rsidR="00AB57EB" w:rsidRPr="00B62AC8">
              <w:rPr>
                <w:rFonts w:ascii="Times New Roman" w:eastAsia="Calibri" w:hAnsi="Times New Roman" w:cs="Times New Roman"/>
              </w:rPr>
              <w:t xml:space="preserve">Kuna edaspidi kasutatakse </w:t>
            </w:r>
            <w:r w:rsidR="00D91F3C" w:rsidRPr="00B62AC8">
              <w:rPr>
                <w:rFonts w:ascii="Times New Roman" w:eastAsia="Calibri" w:hAnsi="Times New Roman" w:cs="Times New Roman"/>
              </w:rPr>
              <w:t>arvamuses õigeid viiteid</w:t>
            </w:r>
            <w:r w:rsidR="005A69D9">
              <w:rPr>
                <w:rFonts w:ascii="Times New Roman" w:eastAsia="Calibri" w:hAnsi="Times New Roman" w:cs="Times New Roman"/>
              </w:rPr>
              <w:t xml:space="preserve"> digiturgude määruse sätetele, siis eeldame, et mõtlesite </w:t>
            </w:r>
            <w:r w:rsidR="00730963">
              <w:rPr>
                <w:rFonts w:ascii="Times New Roman" w:eastAsia="Calibri" w:hAnsi="Times New Roman" w:cs="Times New Roman"/>
              </w:rPr>
              <w:t xml:space="preserve">siiski </w:t>
            </w:r>
            <w:r w:rsidR="00700CCC">
              <w:rPr>
                <w:rFonts w:ascii="Times New Roman" w:eastAsia="Calibri" w:hAnsi="Times New Roman" w:cs="Times New Roman"/>
              </w:rPr>
              <w:t>seda</w:t>
            </w:r>
            <w:r w:rsidR="002C131B">
              <w:rPr>
                <w:rFonts w:ascii="Times New Roman" w:eastAsia="Calibri" w:hAnsi="Times New Roman" w:cs="Times New Roman"/>
              </w:rPr>
              <w:t xml:space="preserve"> määrust.</w:t>
            </w:r>
            <w:r w:rsidR="00730963">
              <w:rPr>
                <w:rFonts w:ascii="Times New Roman" w:eastAsia="Calibri" w:hAnsi="Times New Roman" w:cs="Times New Roman"/>
              </w:rPr>
              <w:t xml:space="preserve"> </w:t>
            </w:r>
            <w:r w:rsidR="00D91F3C" w:rsidRPr="00B62AC8">
              <w:rPr>
                <w:rFonts w:ascii="Times New Roman" w:eastAsia="Calibri" w:hAnsi="Times New Roman" w:cs="Times New Roman"/>
              </w:rPr>
              <w:t xml:space="preserve"> </w:t>
            </w:r>
          </w:p>
          <w:p w14:paraId="45915C35" w14:textId="308BDDA9" w:rsidR="00042969" w:rsidRDefault="00042969" w:rsidP="00FA0F20">
            <w:pPr>
              <w:spacing w:line="276" w:lineRule="auto"/>
              <w:jc w:val="both"/>
              <w:outlineLvl w:val="0"/>
              <w:rPr>
                <w:rFonts w:ascii="Times New Roman" w:eastAsia="Calibri" w:hAnsi="Times New Roman" w:cs="Times New Roman"/>
              </w:rPr>
            </w:pPr>
          </w:p>
          <w:p w14:paraId="6706FFEE" w14:textId="1B159061" w:rsidR="003561F6" w:rsidRPr="00BB3D5A" w:rsidRDefault="003561F6" w:rsidP="00FA0F20">
            <w:pPr>
              <w:spacing w:line="276" w:lineRule="auto"/>
              <w:jc w:val="both"/>
              <w:outlineLvl w:val="0"/>
              <w:rPr>
                <w:rFonts w:ascii="Times New Roman" w:eastAsia="Calibri" w:hAnsi="Times New Roman" w:cs="Times New Roman"/>
                <w:bCs/>
              </w:rPr>
            </w:pPr>
            <w:r>
              <w:rPr>
                <w:rFonts w:ascii="Times New Roman" w:eastAsia="Calibri" w:hAnsi="Times New Roman" w:cs="Times New Roman"/>
              </w:rPr>
              <w:t xml:space="preserve">„Keelatud teo“ mõiste on defineeritud </w:t>
            </w:r>
            <w:proofErr w:type="spellStart"/>
            <w:r>
              <w:rPr>
                <w:rFonts w:ascii="Times New Roman" w:eastAsia="Calibri" w:hAnsi="Times New Roman" w:cs="Times New Roman"/>
              </w:rPr>
              <w:t>KonkS</w:t>
            </w:r>
            <w:proofErr w:type="spellEnd"/>
            <w:r>
              <w:rPr>
                <w:rFonts w:ascii="Times New Roman" w:eastAsia="Calibri" w:hAnsi="Times New Roman" w:cs="Times New Roman"/>
              </w:rPr>
              <w:t xml:space="preserve"> § 78 lõikes 1</w:t>
            </w:r>
            <w:r w:rsidR="00C43F98">
              <w:rPr>
                <w:rFonts w:ascii="Times New Roman" w:eastAsia="Calibri" w:hAnsi="Times New Roman" w:cs="Times New Roman"/>
              </w:rPr>
              <w:t xml:space="preserve">. </w:t>
            </w:r>
            <w:r w:rsidR="006F6B24">
              <w:rPr>
                <w:rFonts w:ascii="Times New Roman" w:eastAsia="Calibri" w:hAnsi="Times New Roman" w:cs="Times New Roman"/>
              </w:rPr>
              <w:t>Selguse</w:t>
            </w:r>
            <w:r w:rsidR="00666AA8">
              <w:rPr>
                <w:rFonts w:ascii="Times New Roman" w:eastAsia="Calibri" w:hAnsi="Times New Roman" w:cs="Times New Roman"/>
              </w:rPr>
              <w:t xml:space="preserve"> </w:t>
            </w:r>
            <w:r w:rsidR="006F6B24">
              <w:rPr>
                <w:rFonts w:ascii="Times New Roman" w:eastAsia="Calibri" w:hAnsi="Times New Roman" w:cs="Times New Roman"/>
              </w:rPr>
              <w:t>huvides on m</w:t>
            </w:r>
            <w:r w:rsidR="00792AC6">
              <w:rPr>
                <w:rFonts w:ascii="Times New Roman" w:eastAsia="Calibri" w:hAnsi="Times New Roman" w:cs="Times New Roman"/>
              </w:rPr>
              <w:t>inisteerium</w:t>
            </w:r>
            <w:r w:rsidR="007F6BBC">
              <w:rPr>
                <w:rFonts w:ascii="Times New Roman" w:eastAsia="Calibri" w:hAnsi="Times New Roman" w:cs="Times New Roman"/>
              </w:rPr>
              <w:t xml:space="preserve"> </w:t>
            </w:r>
            <w:r w:rsidR="00792AC6">
              <w:rPr>
                <w:rFonts w:ascii="Times New Roman" w:eastAsia="Calibri" w:hAnsi="Times New Roman" w:cs="Times New Roman"/>
              </w:rPr>
              <w:t>teinud eelnõusse täiendava muudatuse, millega tuuakse</w:t>
            </w:r>
            <w:r w:rsidR="007F6BBC">
              <w:rPr>
                <w:rFonts w:ascii="Times New Roman" w:eastAsia="Calibri" w:hAnsi="Times New Roman" w:cs="Times New Roman"/>
              </w:rPr>
              <w:t xml:space="preserve"> keelatud teo mõiste</w:t>
            </w:r>
            <w:r w:rsidR="00792AC6">
              <w:rPr>
                <w:rFonts w:ascii="Times New Roman" w:eastAsia="Calibri" w:hAnsi="Times New Roman" w:cs="Times New Roman"/>
              </w:rPr>
              <w:t xml:space="preserve"> definitsiooni §</w:t>
            </w:r>
            <w:r w:rsidR="00BE5CD6">
              <w:rPr>
                <w:rFonts w:ascii="Times New Roman" w:eastAsia="Calibri" w:hAnsi="Times New Roman" w:cs="Times New Roman"/>
              </w:rPr>
              <w:t xml:space="preserve"> 53</w:t>
            </w:r>
            <w:r w:rsidR="00BE5CD6">
              <w:rPr>
                <w:rFonts w:ascii="Times New Roman" w:eastAsia="Calibri" w:hAnsi="Times New Roman" w:cs="Times New Roman"/>
                <w:vertAlign w:val="superscript"/>
              </w:rPr>
              <w:t xml:space="preserve">5 </w:t>
            </w:r>
            <w:r w:rsidR="00BE5CD6">
              <w:rPr>
                <w:rFonts w:ascii="Times New Roman" w:eastAsia="Calibri" w:hAnsi="Times New Roman" w:cs="Times New Roman"/>
              </w:rPr>
              <w:t>lõikesse 3. Samut</w:t>
            </w:r>
            <w:r w:rsidR="00BA488F">
              <w:rPr>
                <w:rFonts w:ascii="Times New Roman" w:eastAsia="Calibri" w:hAnsi="Times New Roman" w:cs="Times New Roman"/>
              </w:rPr>
              <w:t>i</w:t>
            </w:r>
            <w:r w:rsidR="00BE5CD6">
              <w:rPr>
                <w:rFonts w:ascii="Times New Roman" w:eastAsia="Calibri" w:hAnsi="Times New Roman" w:cs="Times New Roman"/>
              </w:rPr>
              <w:t xml:space="preserve"> täpsustatakse, et seaduses sätestatud juhtudel </w:t>
            </w:r>
            <w:r w:rsidR="00BA488F" w:rsidRPr="00BA488F">
              <w:rPr>
                <w:rFonts w:ascii="Times New Roman" w:eastAsia="Calibri" w:hAnsi="Times New Roman" w:cs="Times New Roman"/>
                <w:bCs/>
              </w:rPr>
              <w:t>võib Konkurentsiamet konkurentsijärelevalvemenetlust läbi</w:t>
            </w:r>
            <w:r w:rsidR="00E95558">
              <w:rPr>
                <w:rFonts w:ascii="Times New Roman" w:eastAsia="Calibri" w:hAnsi="Times New Roman" w:cs="Times New Roman"/>
                <w:bCs/>
              </w:rPr>
              <w:t xml:space="preserve"> viia </w:t>
            </w:r>
            <w:r w:rsidR="00722C40">
              <w:rPr>
                <w:rFonts w:ascii="Times New Roman" w:eastAsia="Calibri" w:hAnsi="Times New Roman" w:cs="Times New Roman"/>
                <w:bCs/>
              </w:rPr>
              <w:t>või</w:t>
            </w:r>
            <w:r w:rsidR="00E95558">
              <w:rPr>
                <w:rFonts w:ascii="Times New Roman" w:eastAsia="Calibri" w:hAnsi="Times New Roman" w:cs="Times New Roman"/>
                <w:bCs/>
              </w:rPr>
              <w:t xml:space="preserve"> selle uurimismeetmeid kohaldada</w:t>
            </w:r>
            <w:r w:rsidR="00BA488F" w:rsidRPr="00BA488F">
              <w:rPr>
                <w:rFonts w:ascii="Times New Roman" w:eastAsia="Calibri" w:hAnsi="Times New Roman" w:cs="Times New Roman"/>
                <w:bCs/>
              </w:rPr>
              <w:t xml:space="preserve"> ka muul eesmärgil</w:t>
            </w:r>
            <w:r w:rsidR="00A6150D">
              <w:rPr>
                <w:rFonts w:ascii="Times New Roman" w:eastAsia="Calibri" w:hAnsi="Times New Roman" w:cs="Times New Roman"/>
                <w:bCs/>
              </w:rPr>
              <w:t xml:space="preserve"> (kui keelatud teo tuvastamiseks ja vajadusel konkurentsijärelevalvemeetmete </w:t>
            </w:r>
            <w:r w:rsidR="00F000A3">
              <w:rPr>
                <w:rFonts w:ascii="Times New Roman" w:eastAsia="Calibri" w:hAnsi="Times New Roman" w:cs="Times New Roman"/>
                <w:bCs/>
              </w:rPr>
              <w:t>kohaldamiseks)</w:t>
            </w:r>
            <w:r w:rsidR="00BA488F">
              <w:rPr>
                <w:rFonts w:ascii="Times New Roman" w:eastAsia="Calibri" w:hAnsi="Times New Roman" w:cs="Times New Roman"/>
                <w:bCs/>
              </w:rPr>
              <w:t>. Peale käesoleva eelnõu</w:t>
            </w:r>
            <w:r w:rsidR="00EC0165">
              <w:rPr>
                <w:rFonts w:ascii="Times New Roman" w:eastAsia="Calibri" w:hAnsi="Times New Roman" w:cs="Times New Roman"/>
                <w:bCs/>
              </w:rPr>
              <w:t>ga kavandatud</w:t>
            </w:r>
            <w:r w:rsidR="00BA488F">
              <w:rPr>
                <w:rFonts w:ascii="Times New Roman" w:eastAsia="Calibri" w:hAnsi="Times New Roman" w:cs="Times New Roman"/>
                <w:bCs/>
              </w:rPr>
              <w:t xml:space="preserve"> </w:t>
            </w:r>
            <w:r w:rsidR="003A3271">
              <w:rPr>
                <w:rFonts w:ascii="Times New Roman" w:eastAsia="Calibri" w:hAnsi="Times New Roman" w:cs="Times New Roman"/>
                <w:bCs/>
              </w:rPr>
              <w:t xml:space="preserve">muudatuste jõustumist saab selliseks </w:t>
            </w:r>
            <w:r w:rsidR="004C65FD">
              <w:rPr>
                <w:rFonts w:ascii="Times New Roman" w:eastAsia="Calibri" w:hAnsi="Times New Roman" w:cs="Times New Roman"/>
                <w:bCs/>
              </w:rPr>
              <w:t>olukorraks</w:t>
            </w:r>
            <w:r w:rsidR="003A3271">
              <w:rPr>
                <w:rFonts w:ascii="Times New Roman" w:eastAsia="Calibri" w:hAnsi="Times New Roman" w:cs="Times New Roman"/>
                <w:bCs/>
              </w:rPr>
              <w:t xml:space="preserve"> olema </w:t>
            </w:r>
            <w:proofErr w:type="spellStart"/>
            <w:r w:rsidR="00442330">
              <w:rPr>
                <w:rFonts w:ascii="Times New Roman" w:eastAsia="Calibri" w:hAnsi="Times New Roman" w:cs="Times New Roman"/>
                <w:bCs/>
              </w:rPr>
              <w:t>KonkS</w:t>
            </w:r>
            <w:proofErr w:type="spellEnd"/>
            <w:r w:rsidR="00442330">
              <w:rPr>
                <w:rFonts w:ascii="Times New Roman" w:eastAsia="Calibri" w:hAnsi="Times New Roman" w:cs="Times New Roman"/>
                <w:bCs/>
              </w:rPr>
              <w:t xml:space="preserve"> </w:t>
            </w:r>
            <w:r w:rsidR="00442330" w:rsidRPr="00442330">
              <w:rPr>
                <w:rFonts w:ascii="Times New Roman" w:eastAsia="Calibri" w:hAnsi="Times New Roman" w:cs="Times New Roman"/>
              </w:rPr>
              <w:t>§ 78</w:t>
            </w:r>
            <w:r w:rsidR="00442330" w:rsidRPr="00442330">
              <w:rPr>
                <w:rFonts w:ascii="Times New Roman" w:eastAsia="Calibri" w:hAnsi="Times New Roman" w:cs="Times New Roman"/>
                <w:vertAlign w:val="superscript"/>
              </w:rPr>
              <w:t>23</w:t>
            </w:r>
            <w:r w:rsidR="00442330">
              <w:rPr>
                <w:rFonts w:ascii="Times New Roman" w:eastAsia="Calibri" w:hAnsi="Times New Roman" w:cs="Times New Roman"/>
                <w:vertAlign w:val="superscript"/>
              </w:rPr>
              <w:t xml:space="preserve"> </w:t>
            </w:r>
            <w:r w:rsidR="00442330">
              <w:rPr>
                <w:rFonts w:ascii="Times New Roman" w:eastAsia="Calibri" w:hAnsi="Times New Roman" w:cs="Times New Roman"/>
              </w:rPr>
              <w:t xml:space="preserve">lõige 3, mille järgi </w:t>
            </w:r>
            <w:r w:rsidR="00EC0165">
              <w:rPr>
                <w:rFonts w:ascii="Times New Roman" w:eastAsia="Calibri" w:hAnsi="Times New Roman" w:cs="Times New Roman"/>
              </w:rPr>
              <w:lastRenderedPageBreak/>
              <w:t xml:space="preserve">võib </w:t>
            </w:r>
            <w:r w:rsidR="00442330">
              <w:rPr>
                <w:rFonts w:ascii="Times New Roman" w:eastAsia="Calibri" w:hAnsi="Times New Roman" w:cs="Times New Roman"/>
              </w:rPr>
              <w:t>Konkurentsiamet</w:t>
            </w:r>
            <w:r w:rsidR="00EC0165">
              <w:rPr>
                <w:rFonts w:ascii="Times New Roman" w:eastAsia="Calibri" w:hAnsi="Times New Roman" w:cs="Times New Roman"/>
              </w:rPr>
              <w:t xml:space="preserve"> viia</w:t>
            </w:r>
            <w:r w:rsidR="00442330">
              <w:rPr>
                <w:rFonts w:ascii="Times New Roman" w:eastAsia="Calibri" w:hAnsi="Times New Roman" w:cs="Times New Roman"/>
              </w:rPr>
              <w:t xml:space="preserve"> konkurentsijärelevalvemenetlust läbi </w:t>
            </w:r>
            <w:r w:rsidR="000A1767">
              <w:rPr>
                <w:rFonts w:ascii="Times New Roman" w:eastAsia="Calibri" w:hAnsi="Times New Roman" w:cs="Times New Roman"/>
                <w:bCs/>
              </w:rPr>
              <w:t>digiturgude määruse</w:t>
            </w:r>
            <w:r w:rsidR="00085719" w:rsidRPr="00085719">
              <w:rPr>
                <w:rFonts w:ascii="Times New Roman" w:eastAsia="Calibri" w:hAnsi="Times New Roman" w:cs="Times New Roman"/>
                <w:bCs/>
              </w:rPr>
              <w:t xml:space="preserve"> artiklite 5, 6 ja 7 Eesti territooriumil võimalikku täitmata jätmis</w:t>
            </w:r>
            <w:r w:rsidR="00085719">
              <w:rPr>
                <w:rFonts w:ascii="Times New Roman" w:eastAsia="Calibri" w:hAnsi="Times New Roman" w:cs="Times New Roman"/>
                <w:bCs/>
              </w:rPr>
              <w:t>e kontrollimisek</w:t>
            </w:r>
            <w:r w:rsidR="00BB3D5A">
              <w:rPr>
                <w:rFonts w:ascii="Times New Roman" w:eastAsia="Calibri" w:hAnsi="Times New Roman" w:cs="Times New Roman"/>
                <w:bCs/>
              </w:rPr>
              <w:t xml:space="preserve">s. Nagu Riigikohus on oma arvamuses õigesti märkinud, ei </w:t>
            </w:r>
            <w:r w:rsidR="00085719">
              <w:rPr>
                <w:rFonts w:ascii="Times New Roman" w:eastAsia="Calibri" w:hAnsi="Times New Roman" w:cs="Times New Roman"/>
                <w:bCs/>
              </w:rPr>
              <w:t xml:space="preserve">pruugi </w:t>
            </w:r>
            <w:r w:rsidR="00BB3D5A">
              <w:rPr>
                <w:rFonts w:ascii="Times New Roman" w:eastAsia="Calibri" w:hAnsi="Times New Roman" w:cs="Times New Roman"/>
                <w:bCs/>
              </w:rPr>
              <w:t xml:space="preserve">selline mittetäitmine </w:t>
            </w:r>
            <w:r w:rsidR="00085719">
              <w:rPr>
                <w:rFonts w:ascii="Times New Roman" w:eastAsia="Calibri" w:hAnsi="Times New Roman" w:cs="Times New Roman"/>
                <w:bCs/>
              </w:rPr>
              <w:t>vastata keelatud teo tunnustustele</w:t>
            </w:r>
            <w:r w:rsidR="00762077">
              <w:rPr>
                <w:rFonts w:ascii="Times New Roman" w:eastAsia="Calibri" w:hAnsi="Times New Roman" w:cs="Times New Roman"/>
                <w:bCs/>
              </w:rPr>
              <w:t xml:space="preserve">. </w:t>
            </w:r>
            <w:r w:rsidR="004C65FD">
              <w:rPr>
                <w:rFonts w:ascii="Times New Roman" w:eastAsia="Calibri" w:hAnsi="Times New Roman" w:cs="Times New Roman"/>
                <w:bCs/>
              </w:rPr>
              <w:t xml:space="preserve">Samuti </w:t>
            </w:r>
            <w:r w:rsidR="00722C40">
              <w:rPr>
                <w:rFonts w:ascii="Times New Roman" w:eastAsia="Calibri" w:hAnsi="Times New Roman" w:cs="Times New Roman"/>
                <w:bCs/>
              </w:rPr>
              <w:t>täpsustatakse</w:t>
            </w:r>
            <w:r w:rsidR="0042245A">
              <w:rPr>
                <w:rFonts w:ascii="Times New Roman" w:eastAsia="Calibri" w:hAnsi="Times New Roman" w:cs="Times New Roman"/>
                <w:bCs/>
              </w:rPr>
              <w:t xml:space="preserve">, et Konkurentsiamet </w:t>
            </w:r>
            <w:r w:rsidR="007F0672">
              <w:rPr>
                <w:rFonts w:ascii="Times New Roman" w:eastAsia="Calibri" w:hAnsi="Times New Roman" w:cs="Times New Roman"/>
                <w:bCs/>
              </w:rPr>
              <w:t xml:space="preserve">saab </w:t>
            </w:r>
            <w:proofErr w:type="spellStart"/>
            <w:r w:rsidR="007F0672">
              <w:rPr>
                <w:rFonts w:ascii="Times New Roman" w:eastAsia="Calibri" w:hAnsi="Times New Roman" w:cs="Times New Roman"/>
                <w:bCs/>
              </w:rPr>
              <w:t>KonkS</w:t>
            </w:r>
            <w:proofErr w:type="spellEnd"/>
            <w:r w:rsidR="007F0672">
              <w:rPr>
                <w:rFonts w:ascii="Times New Roman" w:eastAsia="Calibri" w:hAnsi="Times New Roman" w:cs="Times New Roman"/>
                <w:bCs/>
              </w:rPr>
              <w:t xml:space="preserve"> </w:t>
            </w:r>
            <w:r w:rsidR="007F0672" w:rsidRPr="007F0672">
              <w:rPr>
                <w:rFonts w:ascii="Times New Roman" w:eastAsia="Calibri" w:hAnsi="Times New Roman" w:cs="Times New Roman"/>
                <w:bCs/>
              </w:rPr>
              <w:t>§-des 53</w:t>
            </w:r>
            <w:r w:rsidR="007F0672" w:rsidRPr="007F0672">
              <w:rPr>
                <w:rFonts w:ascii="Times New Roman" w:eastAsia="Calibri" w:hAnsi="Times New Roman" w:cs="Times New Roman"/>
                <w:bCs/>
                <w:vertAlign w:val="superscript"/>
              </w:rPr>
              <w:t>15</w:t>
            </w:r>
            <w:r w:rsidR="007F0672" w:rsidRPr="007F0672">
              <w:rPr>
                <w:rFonts w:ascii="Times New Roman" w:eastAsia="Calibri" w:hAnsi="Times New Roman" w:cs="Times New Roman"/>
                <w:bCs/>
              </w:rPr>
              <w:t> ja 53</w:t>
            </w:r>
            <w:r w:rsidR="007F0672" w:rsidRPr="007F0672">
              <w:rPr>
                <w:rFonts w:ascii="Times New Roman" w:eastAsia="Calibri" w:hAnsi="Times New Roman" w:cs="Times New Roman"/>
                <w:bCs/>
                <w:vertAlign w:val="superscript"/>
              </w:rPr>
              <w:t>17</w:t>
            </w:r>
            <w:r w:rsidR="00D24AF1">
              <w:rPr>
                <w:rFonts w:ascii="Times New Roman" w:eastAsia="Calibri" w:hAnsi="Times New Roman" w:cs="Times New Roman"/>
                <w:bCs/>
                <w:vertAlign w:val="superscript"/>
              </w:rPr>
              <w:t xml:space="preserve"> </w:t>
            </w:r>
            <w:r w:rsidR="007F0672">
              <w:rPr>
                <w:rFonts w:ascii="Times New Roman" w:eastAsia="Calibri" w:hAnsi="Times New Roman" w:cs="Times New Roman"/>
                <w:bCs/>
              </w:rPr>
              <w:t xml:space="preserve">sätestatud </w:t>
            </w:r>
            <w:r w:rsidR="004C65FD">
              <w:rPr>
                <w:rFonts w:ascii="Times New Roman" w:eastAsia="Calibri" w:hAnsi="Times New Roman" w:cs="Times New Roman"/>
                <w:bCs/>
              </w:rPr>
              <w:t xml:space="preserve">uurimismeetmeid </w:t>
            </w:r>
            <w:r w:rsidR="0042245A">
              <w:rPr>
                <w:rFonts w:ascii="Times New Roman" w:eastAsia="Calibri" w:hAnsi="Times New Roman" w:cs="Times New Roman"/>
                <w:bCs/>
              </w:rPr>
              <w:t xml:space="preserve">kohaldada muul eesmärgil – siin on mõeldud </w:t>
            </w:r>
            <w:r w:rsidR="005307A1">
              <w:rPr>
                <w:rFonts w:ascii="Times New Roman" w:eastAsia="Calibri" w:hAnsi="Times New Roman" w:cs="Times New Roman"/>
                <w:bCs/>
              </w:rPr>
              <w:t xml:space="preserve">eelnõuga kavandatud </w:t>
            </w:r>
            <w:r w:rsidR="005307A1" w:rsidRPr="005307A1">
              <w:rPr>
                <w:rFonts w:ascii="Times New Roman" w:eastAsia="Calibri" w:hAnsi="Times New Roman" w:cs="Times New Roman"/>
              </w:rPr>
              <w:t>§ 78</w:t>
            </w:r>
            <w:r w:rsidR="005307A1" w:rsidRPr="005307A1">
              <w:rPr>
                <w:rFonts w:ascii="Times New Roman" w:eastAsia="Calibri" w:hAnsi="Times New Roman" w:cs="Times New Roman"/>
                <w:vertAlign w:val="superscript"/>
              </w:rPr>
              <w:t xml:space="preserve">24 </w:t>
            </w:r>
            <w:r w:rsidR="005307A1" w:rsidRPr="005307A1">
              <w:rPr>
                <w:rFonts w:ascii="Times New Roman" w:eastAsia="Calibri" w:hAnsi="Times New Roman" w:cs="Times New Roman"/>
              </w:rPr>
              <w:t>lõikes 3 sätestatud olukorda</w:t>
            </w:r>
            <w:r w:rsidR="001E0743">
              <w:rPr>
                <w:rFonts w:ascii="Times New Roman" w:eastAsia="Calibri" w:hAnsi="Times New Roman" w:cs="Times New Roman"/>
              </w:rPr>
              <w:t xml:space="preserve">, kus Konkurentsiamet saab </w:t>
            </w:r>
            <w:r w:rsidR="008D365E">
              <w:rPr>
                <w:rFonts w:ascii="Times New Roman" w:eastAsia="Calibri" w:hAnsi="Times New Roman" w:cs="Times New Roman"/>
              </w:rPr>
              <w:t>Euroopa Komisjoni taotlusel riigisiseste uurimismeetmetega teostada</w:t>
            </w:r>
            <w:r w:rsidR="001E0743">
              <w:rPr>
                <w:rFonts w:ascii="Times New Roman" w:eastAsia="Calibri" w:hAnsi="Times New Roman" w:cs="Times New Roman"/>
              </w:rPr>
              <w:t xml:space="preserve"> </w:t>
            </w:r>
            <w:r w:rsidR="001E0743" w:rsidRPr="003841E0">
              <w:rPr>
                <w:rFonts w:ascii="Times New Roman" w:hAnsi="Times New Roman" w:cs="Times New Roman"/>
                <w:bCs/>
              </w:rPr>
              <w:t xml:space="preserve">ettevõtja või ettevõtjate </w:t>
            </w:r>
            <w:r w:rsidR="001E0743" w:rsidRPr="0065286D">
              <w:rPr>
                <w:rFonts w:ascii="Times New Roman" w:hAnsi="Times New Roman" w:cs="Times New Roman"/>
                <w:bCs/>
              </w:rPr>
              <w:t>ühenduse kontrollimist või muu faktide tuvastamise toimingu</w:t>
            </w:r>
            <w:r w:rsidR="008D365E">
              <w:rPr>
                <w:rFonts w:ascii="Times New Roman" w:hAnsi="Times New Roman" w:cs="Times New Roman"/>
                <w:bCs/>
              </w:rPr>
              <w:t>t</w:t>
            </w:r>
            <w:r w:rsidR="009175C2" w:rsidRPr="009175C2">
              <w:rPr>
                <w:rFonts w:ascii="Times New Roman" w:eastAsia="Times New Roman" w:hAnsi="Times New Roman" w:cs="Times New Roman"/>
                <w:bCs/>
                <w:sz w:val="24"/>
                <w:szCs w:val="20"/>
                <w:lang w:eastAsia="et-EE"/>
              </w:rPr>
              <w:t xml:space="preserve"> </w:t>
            </w:r>
            <w:r w:rsidR="009175C2">
              <w:rPr>
                <w:rFonts w:ascii="Times New Roman" w:hAnsi="Times New Roman" w:cs="Times New Roman"/>
                <w:bCs/>
              </w:rPr>
              <w:t>välisriigi subsiidiumide määrus</w:t>
            </w:r>
            <w:r w:rsidR="00D341D8">
              <w:rPr>
                <w:rFonts w:ascii="Times New Roman" w:hAnsi="Times New Roman" w:cs="Times New Roman"/>
                <w:bCs/>
              </w:rPr>
              <w:t>es</w:t>
            </w:r>
            <w:r w:rsidR="009175C2">
              <w:rPr>
                <w:rFonts w:ascii="Times New Roman" w:hAnsi="Times New Roman" w:cs="Times New Roman"/>
                <w:bCs/>
              </w:rPr>
              <w:t xml:space="preserve"> sätestatud eesmärkidel. </w:t>
            </w:r>
          </w:p>
          <w:p w14:paraId="6D3B58B7" w14:textId="77777777" w:rsidR="00762077" w:rsidRDefault="00762077" w:rsidP="00FA0F20">
            <w:pPr>
              <w:spacing w:line="276" w:lineRule="auto"/>
              <w:jc w:val="both"/>
              <w:outlineLvl w:val="0"/>
              <w:rPr>
                <w:rFonts w:ascii="Times New Roman" w:eastAsia="Calibri" w:hAnsi="Times New Roman" w:cs="Times New Roman"/>
                <w:bCs/>
              </w:rPr>
            </w:pPr>
          </w:p>
          <w:p w14:paraId="6700DA39" w14:textId="77777777" w:rsidR="00704BC6" w:rsidRDefault="00704BC6" w:rsidP="00FA0F20">
            <w:pPr>
              <w:spacing w:line="276" w:lineRule="auto"/>
              <w:jc w:val="both"/>
              <w:outlineLvl w:val="0"/>
              <w:rPr>
                <w:rFonts w:ascii="Times New Roman" w:eastAsia="Calibri" w:hAnsi="Times New Roman" w:cs="Times New Roman"/>
              </w:rPr>
            </w:pPr>
          </w:p>
          <w:p w14:paraId="485EA7DF" w14:textId="77777777" w:rsidR="00704BC6" w:rsidRPr="00442330" w:rsidRDefault="00704BC6" w:rsidP="00FA0F20">
            <w:pPr>
              <w:spacing w:line="276" w:lineRule="auto"/>
              <w:jc w:val="both"/>
              <w:outlineLvl w:val="0"/>
              <w:rPr>
                <w:rFonts w:ascii="Times New Roman" w:eastAsia="Calibri" w:hAnsi="Times New Roman" w:cs="Times New Roman"/>
              </w:rPr>
            </w:pPr>
          </w:p>
          <w:p w14:paraId="3C41C289" w14:textId="77777777" w:rsidR="00CA1B86" w:rsidRDefault="00CA1B86" w:rsidP="00FA0F20">
            <w:pPr>
              <w:spacing w:line="276" w:lineRule="auto"/>
              <w:jc w:val="both"/>
              <w:outlineLvl w:val="0"/>
              <w:rPr>
                <w:rFonts w:ascii="Times New Roman" w:eastAsia="Calibri" w:hAnsi="Times New Roman" w:cs="Times New Roman"/>
              </w:rPr>
            </w:pPr>
          </w:p>
          <w:p w14:paraId="472E3482" w14:textId="4A232D80" w:rsidR="00042969" w:rsidRPr="00E95D0F" w:rsidRDefault="00042969" w:rsidP="00D154CB">
            <w:pPr>
              <w:spacing w:line="276" w:lineRule="auto"/>
              <w:jc w:val="both"/>
              <w:outlineLvl w:val="0"/>
              <w:rPr>
                <w:rFonts w:ascii="Times New Roman" w:eastAsia="Calibri" w:hAnsi="Times New Roman" w:cs="Times New Roman"/>
              </w:rPr>
            </w:pPr>
          </w:p>
        </w:tc>
      </w:tr>
      <w:tr w:rsidR="00967FAE" w:rsidRPr="004F72A5" w14:paraId="77A6A5F7" w14:textId="77777777" w:rsidTr="00967FAE">
        <w:tc>
          <w:tcPr>
            <w:tcW w:w="745" w:type="dxa"/>
          </w:tcPr>
          <w:p w14:paraId="11290C9F" w14:textId="3003EAC4" w:rsidR="00967FAE" w:rsidRDefault="00967FAE"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2</w:t>
            </w:r>
          </w:p>
        </w:tc>
        <w:tc>
          <w:tcPr>
            <w:tcW w:w="5291" w:type="dxa"/>
          </w:tcPr>
          <w:p w14:paraId="2163A406" w14:textId="77777777" w:rsidR="00967FAE" w:rsidRDefault="00967FAE" w:rsidP="00AE721E">
            <w:pPr>
              <w:spacing w:line="276" w:lineRule="auto"/>
              <w:outlineLvl w:val="0"/>
              <w:rPr>
                <w:rFonts w:ascii="Times New Roman" w:eastAsia="Calibri" w:hAnsi="Times New Roman" w:cs="Times New Roman"/>
              </w:rPr>
            </w:pPr>
            <w:r w:rsidRPr="00AE721E">
              <w:rPr>
                <w:rFonts w:ascii="Times New Roman" w:eastAsia="Calibri" w:hAnsi="Times New Roman" w:cs="Times New Roman"/>
              </w:rPr>
              <w:t xml:space="preserve">Lähtuvalt uuest eesmärgist tuleks ka hinnata, kas menetluses seni ette nähtud uurimisvolitused on asjakohased ja proportsionaalsed või vajavad täiendavast eesmärgist tingitult muutmist või täiendamist. Eelduslikult ei saa DSA määruse art 5–7 täitmise tagamise eesmärgil toimetatavas menetluses eesmärgiks olla kehtivas </w:t>
            </w:r>
            <w:proofErr w:type="spellStart"/>
            <w:r w:rsidRPr="00AE721E">
              <w:rPr>
                <w:rFonts w:ascii="Times New Roman" w:eastAsia="Calibri" w:hAnsi="Times New Roman" w:cs="Times New Roman"/>
              </w:rPr>
              <w:t>KonkS-is</w:t>
            </w:r>
            <w:proofErr w:type="spellEnd"/>
            <w:r w:rsidRPr="00AE721E">
              <w:rPr>
                <w:rFonts w:ascii="Times New Roman" w:eastAsia="Calibri" w:hAnsi="Times New Roman" w:cs="Times New Roman"/>
              </w:rPr>
              <w:t xml:space="preserve"> sätestatud konkurentsijärelevalvemeetmete kohaldamine, sest need eeldavad samuti keelatud teo toimepanemise tuvastamist või vähemalt keelatud teo toimepanemise kahtlust. Viimast kohustuse võtmise heakskiitmisel kehtiva </w:t>
            </w:r>
            <w:proofErr w:type="spellStart"/>
            <w:r w:rsidRPr="00AE721E">
              <w:rPr>
                <w:rFonts w:ascii="Times New Roman" w:eastAsia="Calibri" w:hAnsi="Times New Roman" w:cs="Times New Roman"/>
              </w:rPr>
              <w:t>KonkS</w:t>
            </w:r>
            <w:proofErr w:type="spellEnd"/>
            <w:r w:rsidRPr="00AE721E">
              <w:rPr>
                <w:rFonts w:ascii="Times New Roman" w:eastAsia="Calibri" w:hAnsi="Times New Roman" w:cs="Times New Roman"/>
              </w:rPr>
              <w:t xml:space="preserve"> § 53</w:t>
            </w:r>
            <w:r w:rsidRPr="00AE721E">
              <w:rPr>
                <w:rFonts w:ascii="Times New Roman" w:eastAsia="Calibri" w:hAnsi="Times New Roman" w:cs="Times New Roman"/>
                <w:vertAlign w:val="superscript"/>
              </w:rPr>
              <w:t>22</w:t>
            </w:r>
            <w:r w:rsidRPr="00AE721E">
              <w:rPr>
                <w:rFonts w:ascii="Times New Roman" w:eastAsia="Calibri" w:hAnsi="Times New Roman" w:cs="Times New Roman"/>
              </w:rPr>
              <w:t xml:space="preserve"> alusel. Lisaks, võttes arvesse, et konkurentsijärelevalvemenetluse tervikregulatsioon kehtestati Eesti õiguses direktiivi (EL) 2019/1 (nn ECN+ direktiiv) ülevõtmiseks, tuleks hinnata, kas selle rakendamisel DSA määruse täitmise tagamise eesmärgil rakenduks ja kui, siis millisel määral ka ECN+ direktiivi tõlgendav Euroopa Liidu Kohtu praktika. Seletuskiri vastavasisulist analüüsi ei hõlma.</w:t>
            </w:r>
          </w:p>
          <w:p w14:paraId="1BA88354" w14:textId="77777777" w:rsidR="00737335" w:rsidRDefault="00737335" w:rsidP="00AE721E">
            <w:pPr>
              <w:spacing w:line="276" w:lineRule="auto"/>
              <w:outlineLvl w:val="0"/>
              <w:rPr>
                <w:rFonts w:ascii="Times New Roman" w:eastAsia="Calibri" w:hAnsi="Times New Roman" w:cs="Times New Roman"/>
              </w:rPr>
            </w:pPr>
          </w:p>
          <w:p w14:paraId="6ED5FBBD" w14:textId="0A1DACA1" w:rsidR="00737335" w:rsidRPr="001224D6" w:rsidRDefault="004C65FD" w:rsidP="00AE721E">
            <w:pPr>
              <w:spacing w:line="276" w:lineRule="auto"/>
              <w:outlineLvl w:val="0"/>
              <w:rPr>
                <w:rFonts w:ascii="Times New Roman" w:eastAsia="Calibri" w:hAnsi="Times New Roman" w:cs="Times New Roman"/>
              </w:rPr>
            </w:pPr>
            <w:r>
              <w:rPr>
                <w:rFonts w:ascii="Times New Roman" w:eastAsia="Calibri" w:hAnsi="Times New Roman" w:cs="Times New Roman"/>
              </w:rPr>
              <w:t>T</w:t>
            </w:r>
            <w:r w:rsidR="00737335" w:rsidRPr="00A32599">
              <w:rPr>
                <w:rFonts w:ascii="Times New Roman" w:eastAsia="Calibri" w:hAnsi="Times New Roman" w:cs="Times New Roman"/>
              </w:rPr>
              <w:t xml:space="preserve">uleks hinnata, kas välisriigi subsiidiumist tingitud siseturu moonutuste tuvastamiseks, on kõnesolevad uurimismeetmed asjakohased ja proportsionaalsed. Samuti, sarnaselt eespool väljatooduga, kuna </w:t>
            </w:r>
            <w:proofErr w:type="spellStart"/>
            <w:r w:rsidR="00737335" w:rsidRPr="00A32599">
              <w:rPr>
                <w:rFonts w:ascii="Times New Roman" w:eastAsia="Calibri" w:hAnsi="Times New Roman" w:cs="Times New Roman"/>
              </w:rPr>
              <w:t>KonkS</w:t>
            </w:r>
            <w:proofErr w:type="spellEnd"/>
            <w:r w:rsidR="00737335" w:rsidRPr="00A32599">
              <w:rPr>
                <w:rFonts w:ascii="Times New Roman" w:eastAsia="Calibri" w:hAnsi="Times New Roman" w:cs="Times New Roman"/>
              </w:rPr>
              <w:t xml:space="preserve"> § 53</w:t>
            </w:r>
            <w:r w:rsidR="00737335" w:rsidRPr="00A32599">
              <w:rPr>
                <w:rFonts w:ascii="Times New Roman" w:eastAsia="Calibri" w:hAnsi="Times New Roman" w:cs="Times New Roman"/>
                <w:vertAlign w:val="superscript"/>
              </w:rPr>
              <w:t>15</w:t>
            </w:r>
            <w:r w:rsidR="00737335" w:rsidRPr="00A32599">
              <w:rPr>
                <w:rFonts w:ascii="Times New Roman" w:eastAsia="Calibri" w:hAnsi="Times New Roman" w:cs="Times New Roman"/>
              </w:rPr>
              <w:t xml:space="preserve"> ja § 53</w:t>
            </w:r>
            <w:r w:rsidR="00737335" w:rsidRPr="00A32599">
              <w:rPr>
                <w:rFonts w:ascii="Times New Roman" w:eastAsia="Calibri" w:hAnsi="Times New Roman" w:cs="Times New Roman"/>
                <w:vertAlign w:val="superscript"/>
              </w:rPr>
              <w:t>17</w:t>
            </w:r>
            <w:r w:rsidR="00737335" w:rsidRPr="00A32599">
              <w:rPr>
                <w:rFonts w:ascii="Times New Roman" w:eastAsia="Calibri" w:hAnsi="Times New Roman" w:cs="Times New Roman"/>
              </w:rPr>
              <w:t xml:space="preserve"> on ECN+ direktiivi ülevõtmismeetmed, tuleks hinnata, kas nende rakendamisele FSR määruse täitmise tagamise eesmärgil rakenduks ja kui, siis millisel määral ECN+ direktiivi tõlgendav Euroopa Liidu Kohtu praktika. Ka vastavasisulist analüüsi seletuskiri ei hõlma.</w:t>
            </w:r>
          </w:p>
        </w:tc>
        <w:tc>
          <w:tcPr>
            <w:tcW w:w="2319" w:type="dxa"/>
          </w:tcPr>
          <w:p w14:paraId="2227628B" w14:textId="4465FE50" w:rsidR="00967FAE" w:rsidRPr="00A01481" w:rsidRDefault="00451EFA" w:rsidP="001F6603">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Osaliselt arvestatud</w:t>
            </w:r>
          </w:p>
        </w:tc>
        <w:tc>
          <w:tcPr>
            <w:tcW w:w="5639" w:type="dxa"/>
          </w:tcPr>
          <w:p w14:paraId="04510A0D" w14:textId="3CE284D5" w:rsidR="007C3933" w:rsidRDefault="008E00CF" w:rsidP="00D154CB">
            <w:pPr>
              <w:spacing w:line="276" w:lineRule="auto"/>
              <w:jc w:val="both"/>
              <w:outlineLvl w:val="0"/>
              <w:rPr>
                <w:rFonts w:ascii="Times New Roman" w:eastAsia="Calibri" w:hAnsi="Times New Roman" w:cs="Times New Roman"/>
              </w:rPr>
            </w:pPr>
            <w:r>
              <w:rPr>
                <w:rFonts w:ascii="Times New Roman" w:eastAsia="Calibri" w:hAnsi="Times New Roman" w:cs="Times New Roman"/>
              </w:rPr>
              <w:t>Euroopa Komisjoni digiturgude määruses ja välisriigi subsiidiumide määruses sätestatud</w:t>
            </w:r>
            <w:r w:rsidR="00D154CB" w:rsidRPr="00704CE8">
              <w:rPr>
                <w:rFonts w:ascii="Times New Roman" w:eastAsia="Calibri" w:hAnsi="Times New Roman" w:cs="Times New Roman"/>
              </w:rPr>
              <w:t xml:space="preserve"> uurimisvolitused on otseselt inspireeritud</w:t>
            </w:r>
            <w:r>
              <w:rPr>
                <w:rFonts w:ascii="Times New Roman" w:eastAsia="Calibri" w:hAnsi="Times New Roman" w:cs="Times New Roman"/>
              </w:rPr>
              <w:t xml:space="preserve"> </w:t>
            </w:r>
            <w:r w:rsidR="00822386">
              <w:rPr>
                <w:rFonts w:ascii="Times New Roman" w:eastAsia="Calibri" w:hAnsi="Times New Roman" w:cs="Times New Roman"/>
              </w:rPr>
              <w:t xml:space="preserve">nõukogu </w:t>
            </w:r>
            <w:r w:rsidR="00D154CB" w:rsidRPr="00704CE8">
              <w:rPr>
                <w:rFonts w:ascii="Times New Roman" w:eastAsia="Calibri" w:hAnsi="Times New Roman" w:cs="Times New Roman"/>
              </w:rPr>
              <w:t>määrus</w:t>
            </w:r>
            <w:r>
              <w:rPr>
                <w:rFonts w:ascii="Times New Roman" w:eastAsia="Calibri" w:hAnsi="Times New Roman" w:cs="Times New Roman"/>
              </w:rPr>
              <w:t>est</w:t>
            </w:r>
            <w:r w:rsidR="00D154CB" w:rsidRPr="00704CE8">
              <w:rPr>
                <w:rFonts w:ascii="Times New Roman" w:eastAsia="Calibri" w:hAnsi="Times New Roman" w:cs="Times New Roman"/>
              </w:rPr>
              <w:t xml:space="preserve"> 1/200</w:t>
            </w:r>
            <w:r w:rsidR="00822386">
              <w:rPr>
                <w:rFonts w:ascii="Times New Roman" w:eastAsia="Calibri" w:hAnsi="Times New Roman" w:cs="Times New Roman"/>
              </w:rPr>
              <w:t>3</w:t>
            </w:r>
            <w:r w:rsidR="0021142C">
              <w:rPr>
                <w:rFonts w:ascii="Times New Roman" w:eastAsia="Calibri" w:hAnsi="Times New Roman" w:cs="Times New Roman"/>
              </w:rPr>
              <w:t>, millest on omakorda saanud inspiratsiooni ECN+ direktiivis sätestatud uurimisvolitused.</w:t>
            </w:r>
            <w:r w:rsidR="00822386">
              <w:rPr>
                <w:rFonts w:ascii="Times New Roman" w:eastAsia="Calibri" w:hAnsi="Times New Roman" w:cs="Times New Roman"/>
              </w:rPr>
              <w:t xml:space="preserve"> </w:t>
            </w:r>
            <w:r w:rsidR="0021142C">
              <w:rPr>
                <w:rFonts w:ascii="Times New Roman" w:eastAsia="Calibri" w:hAnsi="Times New Roman" w:cs="Times New Roman"/>
              </w:rPr>
              <w:t>K</w:t>
            </w:r>
            <w:r w:rsidR="00822386">
              <w:rPr>
                <w:rFonts w:ascii="Times New Roman" w:eastAsia="Calibri" w:hAnsi="Times New Roman" w:cs="Times New Roman"/>
              </w:rPr>
              <w:t xml:space="preserve">ui võrrelda kolme määruse läbiotsimist (kontrolli) ja </w:t>
            </w:r>
            <w:r w:rsidR="00600A56">
              <w:rPr>
                <w:rFonts w:ascii="Times New Roman" w:eastAsia="Calibri" w:hAnsi="Times New Roman" w:cs="Times New Roman"/>
              </w:rPr>
              <w:t>teabe nõudeid reguleerivaid sätteid (määruse 1/2003 artiklid</w:t>
            </w:r>
            <w:r w:rsidR="005A4CAE">
              <w:rPr>
                <w:rFonts w:ascii="Times New Roman" w:eastAsia="Calibri" w:hAnsi="Times New Roman" w:cs="Times New Roman"/>
              </w:rPr>
              <w:t xml:space="preserve"> 18</w:t>
            </w:r>
            <w:r w:rsidR="000131D5">
              <w:rPr>
                <w:rFonts w:ascii="Times New Roman" w:eastAsia="Calibri" w:hAnsi="Times New Roman" w:cs="Times New Roman"/>
              </w:rPr>
              <w:t>,</w:t>
            </w:r>
            <w:r w:rsidR="005A4CAE">
              <w:rPr>
                <w:rFonts w:ascii="Times New Roman" w:eastAsia="Calibri" w:hAnsi="Times New Roman" w:cs="Times New Roman"/>
              </w:rPr>
              <w:t xml:space="preserve"> 20</w:t>
            </w:r>
            <w:r w:rsidR="000131D5">
              <w:rPr>
                <w:rFonts w:ascii="Times New Roman" w:eastAsia="Calibri" w:hAnsi="Times New Roman" w:cs="Times New Roman"/>
              </w:rPr>
              <w:t xml:space="preserve"> ja 21</w:t>
            </w:r>
            <w:r w:rsidR="00600A56">
              <w:rPr>
                <w:rFonts w:ascii="Times New Roman" w:eastAsia="Calibri" w:hAnsi="Times New Roman" w:cs="Times New Roman"/>
              </w:rPr>
              <w:t xml:space="preserve">, </w:t>
            </w:r>
            <w:r w:rsidR="00E36513">
              <w:rPr>
                <w:rFonts w:ascii="Times New Roman" w:eastAsia="Calibri" w:hAnsi="Times New Roman" w:cs="Times New Roman"/>
              </w:rPr>
              <w:t xml:space="preserve">digiturgude määruse </w:t>
            </w:r>
            <w:r w:rsidR="00E62234">
              <w:rPr>
                <w:rFonts w:ascii="Times New Roman" w:eastAsia="Calibri" w:hAnsi="Times New Roman" w:cs="Times New Roman"/>
              </w:rPr>
              <w:t xml:space="preserve">artiklid </w:t>
            </w:r>
            <w:r w:rsidR="00E36513">
              <w:rPr>
                <w:rFonts w:ascii="Times New Roman" w:eastAsia="Calibri" w:hAnsi="Times New Roman" w:cs="Times New Roman"/>
              </w:rPr>
              <w:t>21 ja 23</w:t>
            </w:r>
            <w:r w:rsidR="00E62234">
              <w:rPr>
                <w:rFonts w:ascii="Times New Roman" w:eastAsia="Calibri" w:hAnsi="Times New Roman" w:cs="Times New Roman"/>
              </w:rPr>
              <w:t xml:space="preserve"> ning välisriigi subsiidiumide määruse artiklid </w:t>
            </w:r>
            <w:r w:rsidR="00F22103">
              <w:rPr>
                <w:rFonts w:ascii="Times New Roman" w:eastAsia="Calibri" w:hAnsi="Times New Roman" w:cs="Times New Roman"/>
              </w:rPr>
              <w:t>13 ja 14),</w:t>
            </w:r>
            <w:r w:rsidR="00E36513">
              <w:rPr>
                <w:rFonts w:ascii="Times New Roman" w:eastAsia="Calibri" w:hAnsi="Times New Roman" w:cs="Times New Roman"/>
              </w:rPr>
              <w:t xml:space="preserve"> </w:t>
            </w:r>
            <w:r w:rsidR="00600A56">
              <w:rPr>
                <w:rFonts w:ascii="Times New Roman" w:eastAsia="Calibri" w:hAnsi="Times New Roman" w:cs="Times New Roman"/>
              </w:rPr>
              <w:t xml:space="preserve">siis need on oma sisult </w:t>
            </w:r>
            <w:r w:rsidR="00D242D8">
              <w:rPr>
                <w:rFonts w:ascii="Times New Roman" w:eastAsia="Calibri" w:hAnsi="Times New Roman" w:cs="Times New Roman"/>
              </w:rPr>
              <w:t xml:space="preserve">suuresti </w:t>
            </w:r>
            <w:r w:rsidR="00600A56">
              <w:rPr>
                <w:rFonts w:ascii="Times New Roman" w:eastAsia="Calibri" w:hAnsi="Times New Roman" w:cs="Times New Roman"/>
              </w:rPr>
              <w:t xml:space="preserve">identsed. </w:t>
            </w:r>
            <w:r w:rsidR="00A82630">
              <w:rPr>
                <w:rFonts w:ascii="Times New Roman" w:eastAsia="Calibri" w:hAnsi="Times New Roman" w:cs="Times New Roman"/>
              </w:rPr>
              <w:t>Ü</w:t>
            </w:r>
            <w:r w:rsidR="000367BC">
              <w:rPr>
                <w:rFonts w:ascii="Times New Roman" w:eastAsia="Calibri" w:hAnsi="Times New Roman" w:cs="Times New Roman"/>
              </w:rPr>
              <w:t>hte</w:t>
            </w:r>
            <w:r w:rsidR="00A82630">
              <w:rPr>
                <w:rFonts w:ascii="Times New Roman" w:eastAsia="Calibri" w:hAnsi="Times New Roman" w:cs="Times New Roman"/>
              </w:rPr>
              <w:t xml:space="preserve"> erinevus</w:t>
            </w:r>
            <w:r w:rsidR="00A94686">
              <w:rPr>
                <w:rFonts w:ascii="Times New Roman" w:eastAsia="Calibri" w:hAnsi="Times New Roman" w:cs="Times New Roman"/>
              </w:rPr>
              <w:t>t</w:t>
            </w:r>
            <w:r w:rsidR="00A82630">
              <w:rPr>
                <w:rFonts w:ascii="Times New Roman" w:eastAsia="Calibri" w:hAnsi="Times New Roman" w:cs="Times New Roman"/>
              </w:rPr>
              <w:t xml:space="preserve"> </w:t>
            </w:r>
            <w:r w:rsidR="000367BC">
              <w:rPr>
                <w:rFonts w:ascii="Times New Roman" w:eastAsia="Calibri" w:hAnsi="Times New Roman" w:cs="Times New Roman"/>
              </w:rPr>
              <w:t>võib</w:t>
            </w:r>
            <w:r w:rsidR="00A94686">
              <w:rPr>
                <w:rFonts w:ascii="Times New Roman" w:eastAsia="Calibri" w:hAnsi="Times New Roman" w:cs="Times New Roman"/>
              </w:rPr>
              <w:t xml:space="preserve"> küll</w:t>
            </w:r>
            <w:r w:rsidR="000367BC">
              <w:rPr>
                <w:rFonts w:ascii="Times New Roman" w:eastAsia="Calibri" w:hAnsi="Times New Roman" w:cs="Times New Roman"/>
              </w:rPr>
              <w:t xml:space="preserve"> leida </w:t>
            </w:r>
            <w:r w:rsidR="00A82630">
              <w:rPr>
                <w:rFonts w:ascii="Times New Roman" w:eastAsia="Calibri" w:hAnsi="Times New Roman" w:cs="Times New Roman"/>
              </w:rPr>
              <w:t>digiturgude määruse artikli</w:t>
            </w:r>
            <w:r w:rsidR="00F732C2">
              <w:rPr>
                <w:rFonts w:ascii="Times New Roman" w:eastAsia="Calibri" w:hAnsi="Times New Roman" w:cs="Times New Roman"/>
              </w:rPr>
              <w:t xml:space="preserve"> </w:t>
            </w:r>
            <w:r w:rsidR="00A82630">
              <w:rPr>
                <w:rFonts w:ascii="Times New Roman" w:eastAsia="Calibri" w:hAnsi="Times New Roman" w:cs="Times New Roman"/>
              </w:rPr>
              <w:t>23 lõikest 2 punktist d– mis sätestab</w:t>
            </w:r>
            <w:r w:rsidR="00A94686">
              <w:rPr>
                <w:rFonts w:ascii="Times New Roman" w:eastAsia="Calibri" w:hAnsi="Times New Roman" w:cs="Times New Roman"/>
              </w:rPr>
              <w:t xml:space="preserve"> otsesõnu</w:t>
            </w:r>
            <w:r w:rsidR="00A82630">
              <w:rPr>
                <w:rFonts w:ascii="Times New Roman" w:eastAsia="Calibri" w:hAnsi="Times New Roman" w:cs="Times New Roman"/>
              </w:rPr>
              <w:t xml:space="preserve"> komisjoni õigust, lisaks raamatupidamis- ja </w:t>
            </w:r>
            <w:r w:rsidR="00F732C2">
              <w:rPr>
                <w:rFonts w:ascii="Times New Roman" w:eastAsia="Calibri" w:hAnsi="Times New Roman" w:cs="Times New Roman"/>
              </w:rPr>
              <w:t>muudele äridokumentidele,</w:t>
            </w:r>
            <w:r w:rsidR="00A82630">
              <w:rPr>
                <w:rFonts w:ascii="Times New Roman" w:eastAsia="Calibri" w:hAnsi="Times New Roman" w:cs="Times New Roman"/>
              </w:rPr>
              <w:t xml:space="preserve"> nõuda </w:t>
            </w:r>
            <w:r w:rsidR="00F40EDC">
              <w:rPr>
                <w:rFonts w:ascii="Times New Roman" w:eastAsia="Calibri" w:hAnsi="Times New Roman" w:cs="Times New Roman"/>
              </w:rPr>
              <w:t xml:space="preserve">kontrolli teostamise käigus </w:t>
            </w:r>
            <w:r w:rsidR="00A82630" w:rsidRPr="00A82630">
              <w:rPr>
                <w:rFonts w:ascii="Times New Roman" w:eastAsia="Calibri" w:hAnsi="Times New Roman" w:cs="Times New Roman"/>
              </w:rPr>
              <w:t xml:space="preserve">juurdepääsu </w:t>
            </w:r>
            <w:r w:rsidR="00F732C2">
              <w:rPr>
                <w:rFonts w:ascii="Times New Roman" w:eastAsia="Calibri" w:hAnsi="Times New Roman" w:cs="Times New Roman"/>
              </w:rPr>
              <w:t xml:space="preserve">ka </w:t>
            </w:r>
            <w:r w:rsidR="00A82630">
              <w:rPr>
                <w:rFonts w:ascii="Times New Roman" w:eastAsia="Calibri" w:hAnsi="Times New Roman" w:cs="Times New Roman"/>
              </w:rPr>
              <w:t xml:space="preserve">ettevõtja </w:t>
            </w:r>
            <w:r w:rsidR="00A82630" w:rsidRPr="00A82630">
              <w:rPr>
                <w:rFonts w:ascii="Times New Roman" w:eastAsia="Calibri" w:hAnsi="Times New Roman" w:cs="Times New Roman"/>
              </w:rPr>
              <w:t>organisatsioonile, toimimisele, IT-süsteemile</w:t>
            </w:r>
            <w:r w:rsidR="00A94686">
              <w:rPr>
                <w:rFonts w:ascii="Times New Roman" w:eastAsia="Calibri" w:hAnsi="Times New Roman" w:cs="Times New Roman"/>
              </w:rPr>
              <w:t xml:space="preserve"> ja </w:t>
            </w:r>
            <w:r w:rsidR="00A82630" w:rsidRPr="00A82630">
              <w:rPr>
                <w:rFonts w:ascii="Times New Roman" w:eastAsia="Calibri" w:hAnsi="Times New Roman" w:cs="Times New Roman"/>
              </w:rPr>
              <w:t>algoritmidele</w:t>
            </w:r>
            <w:r w:rsidR="00A82630">
              <w:rPr>
                <w:rFonts w:ascii="Times New Roman" w:eastAsia="Calibri" w:hAnsi="Times New Roman" w:cs="Times New Roman"/>
              </w:rPr>
              <w:t>.</w:t>
            </w:r>
          </w:p>
          <w:p w14:paraId="2F90DAC3" w14:textId="77777777" w:rsidR="00AF17DB" w:rsidRDefault="007C3933" w:rsidP="00D154CB">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Samas, </w:t>
            </w:r>
            <w:r w:rsidR="0067051A">
              <w:rPr>
                <w:rFonts w:ascii="Times New Roman" w:eastAsia="Calibri" w:hAnsi="Times New Roman" w:cs="Times New Roman"/>
              </w:rPr>
              <w:t xml:space="preserve">oli ka ECN+ direktiivi eesmärk anda </w:t>
            </w:r>
            <w:r w:rsidR="0067051A" w:rsidRPr="0067051A">
              <w:rPr>
                <w:rFonts w:ascii="Times New Roman" w:eastAsia="Calibri" w:hAnsi="Times New Roman" w:cs="Times New Roman"/>
              </w:rPr>
              <w:t xml:space="preserve">konkurentsiasutustele  õigus saada uurimise all oleva ettevõtja kohta </w:t>
            </w:r>
            <w:r w:rsidR="0067051A" w:rsidRPr="0067051A">
              <w:rPr>
                <w:rFonts w:ascii="Times New Roman" w:eastAsia="Calibri" w:hAnsi="Times New Roman" w:cs="Times New Roman"/>
                <w:i/>
                <w:iCs/>
                <w:u w:val="single"/>
              </w:rPr>
              <w:t>kogu teavet, sealhulgas digitaalsel kujul, sõltumata teabe hoidmise kandjast</w:t>
            </w:r>
            <w:r w:rsidR="0067051A">
              <w:rPr>
                <w:rFonts w:ascii="Times New Roman" w:eastAsia="Calibri" w:hAnsi="Times New Roman" w:cs="Times New Roman"/>
              </w:rPr>
              <w:t xml:space="preserve"> (</w:t>
            </w:r>
            <w:r w:rsidR="0014500B">
              <w:rPr>
                <w:rFonts w:ascii="Times New Roman" w:eastAsia="Calibri" w:hAnsi="Times New Roman" w:cs="Times New Roman"/>
              </w:rPr>
              <w:t xml:space="preserve">direktiivi põhjenduspunkt 4). </w:t>
            </w:r>
            <w:r w:rsidR="00D62B0B">
              <w:rPr>
                <w:rFonts w:ascii="Times New Roman" w:eastAsia="Calibri" w:hAnsi="Times New Roman" w:cs="Times New Roman"/>
              </w:rPr>
              <w:t xml:space="preserve">Seega võib eeldada, et </w:t>
            </w:r>
            <w:r w:rsidR="003A5459">
              <w:rPr>
                <w:rFonts w:ascii="Times New Roman" w:eastAsia="Calibri" w:hAnsi="Times New Roman" w:cs="Times New Roman"/>
              </w:rPr>
              <w:t xml:space="preserve">ECN+ direktiivi uurimismeetmed </w:t>
            </w:r>
            <w:r w:rsidR="001B6AA9">
              <w:rPr>
                <w:rFonts w:ascii="Times New Roman" w:eastAsia="Calibri" w:hAnsi="Times New Roman" w:cs="Times New Roman"/>
              </w:rPr>
              <w:t>tagavad</w:t>
            </w:r>
            <w:r w:rsidR="003A5459">
              <w:rPr>
                <w:rFonts w:ascii="Times New Roman" w:eastAsia="Calibri" w:hAnsi="Times New Roman" w:cs="Times New Roman"/>
              </w:rPr>
              <w:t xml:space="preserve"> ka </w:t>
            </w:r>
            <w:r w:rsidR="00F51491">
              <w:rPr>
                <w:rFonts w:ascii="Times New Roman" w:eastAsia="Calibri" w:hAnsi="Times New Roman" w:cs="Times New Roman"/>
              </w:rPr>
              <w:lastRenderedPageBreak/>
              <w:t xml:space="preserve">sellise teabe </w:t>
            </w:r>
            <w:r w:rsidR="001B6AA9">
              <w:rPr>
                <w:rFonts w:ascii="Times New Roman" w:eastAsia="Calibri" w:hAnsi="Times New Roman" w:cs="Times New Roman"/>
              </w:rPr>
              <w:t xml:space="preserve">kättesaamise võimalust, mida võib vaja minna digiturgude määruse alusel ettevõtja või ettevõtjate ühenduse suhtes toimetatavas menetluses. </w:t>
            </w:r>
            <w:r w:rsidR="008A22A4">
              <w:rPr>
                <w:rFonts w:ascii="Times New Roman" w:eastAsia="Calibri" w:hAnsi="Times New Roman" w:cs="Times New Roman"/>
              </w:rPr>
              <w:t xml:space="preserve">Ka Eesti seadusandja ei piiranud direktiivi ülevõtmisel nende andmete koosseisu, mida Konkurentsiamet saab läbiotsimisel </w:t>
            </w:r>
            <w:r w:rsidR="003533E0">
              <w:rPr>
                <w:rFonts w:ascii="Times New Roman" w:eastAsia="Calibri" w:hAnsi="Times New Roman" w:cs="Times New Roman"/>
              </w:rPr>
              <w:t>üle vaadata</w:t>
            </w:r>
            <w:r w:rsidR="002434CA">
              <w:rPr>
                <w:rFonts w:ascii="Times New Roman" w:eastAsia="Calibri" w:hAnsi="Times New Roman" w:cs="Times New Roman"/>
              </w:rPr>
              <w:t xml:space="preserve"> või teabenõude korras nõuda ainult raamatupidamis- ja muu</w:t>
            </w:r>
            <w:r w:rsidR="00645574">
              <w:rPr>
                <w:rFonts w:ascii="Times New Roman" w:eastAsia="Calibri" w:hAnsi="Times New Roman" w:cs="Times New Roman"/>
              </w:rPr>
              <w:t>de</w:t>
            </w:r>
            <w:r w:rsidR="002434CA">
              <w:rPr>
                <w:rFonts w:ascii="Times New Roman" w:eastAsia="Calibri" w:hAnsi="Times New Roman" w:cs="Times New Roman"/>
              </w:rPr>
              <w:t xml:space="preserve"> äridokumenti</w:t>
            </w:r>
            <w:r w:rsidR="00645574">
              <w:rPr>
                <w:rFonts w:ascii="Times New Roman" w:eastAsia="Calibri" w:hAnsi="Times New Roman" w:cs="Times New Roman"/>
              </w:rPr>
              <w:t xml:space="preserve">dega, vaid </w:t>
            </w:r>
            <w:r w:rsidR="008C0C7D">
              <w:rPr>
                <w:rFonts w:ascii="Times New Roman" w:eastAsia="Calibri" w:hAnsi="Times New Roman" w:cs="Times New Roman"/>
              </w:rPr>
              <w:t>Konkurentsiametil on õigus saada juurdepääsu ka „</w:t>
            </w:r>
            <w:r w:rsidR="003B312C" w:rsidRPr="003533E0">
              <w:rPr>
                <w:rFonts w:ascii="Times New Roman" w:eastAsia="Calibri" w:hAnsi="Times New Roman" w:cs="Times New Roman"/>
                <w:i/>
                <w:iCs/>
              </w:rPr>
              <w:t>läbiotsimisele allutatud isikule arvutivõrgu vahendusel kättesaadavatele andmetele, kui halduskohus on seda oma loas märkinud</w:t>
            </w:r>
            <w:r w:rsidR="008C0C7D">
              <w:rPr>
                <w:rFonts w:ascii="Times New Roman" w:eastAsia="Calibri" w:hAnsi="Times New Roman" w:cs="Times New Roman"/>
              </w:rPr>
              <w:t xml:space="preserve">“ </w:t>
            </w:r>
            <w:r w:rsidR="00E8060D">
              <w:rPr>
                <w:rFonts w:ascii="Times New Roman" w:eastAsia="Calibri" w:hAnsi="Times New Roman" w:cs="Times New Roman"/>
              </w:rPr>
              <w:t>(</w:t>
            </w:r>
            <w:proofErr w:type="spellStart"/>
            <w:r w:rsidR="00E8060D">
              <w:rPr>
                <w:rFonts w:ascii="Times New Roman" w:eastAsia="Calibri" w:hAnsi="Times New Roman" w:cs="Times New Roman"/>
              </w:rPr>
              <w:t>KonkS</w:t>
            </w:r>
            <w:proofErr w:type="spellEnd"/>
            <w:r w:rsidR="00E8060D">
              <w:rPr>
                <w:rFonts w:ascii="Times New Roman" w:eastAsia="Calibri" w:hAnsi="Times New Roman" w:cs="Times New Roman"/>
              </w:rPr>
              <w:t xml:space="preserve"> § 53</w:t>
            </w:r>
            <w:r w:rsidR="00E8060D" w:rsidRPr="00E8060D">
              <w:rPr>
                <w:rFonts w:ascii="Times New Roman" w:eastAsia="Calibri" w:hAnsi="Times New Roman" w:cs="Times New Roman"/>
                <w:vertAlign w:val="superscript"/>
              </w:rPr>
              <w:t>15</w:t>
            </w:r>
            <w:r w:rsidR="00E8060D">
              <w:rPr>
                <w:rFonts w:ascii="Times New Roman" w:eastAsia="Calibri" w:hAnsi="Times New Roman" w:cs="Times New Roman"/>
                <w:vertAlign w:val="superscript"/>
              </w:rPr>
              <w:t xml:space="preserve"> </w:t>
            </w:r>
            <w:r w:rsidR="00E8060D">
              <w:rPr>
                <w:rFonts w:ascii="Times New Roman" w:eastAsia="Calibri" w:hAnsi="Times New Roman" w:cs="Times New Roman"/>
              </w:rPr>
              <w:t xml:space="preserve">lõike 4 punkt 3) </w:t>
            </w:r>
            <w:r w:rsidR="008C0C7D">
              <w:rPr>
                <w:rFonts w:ascii="Times New Roman" w:eastAsia="Calibri" w:hAnsi="Times New Roman" w:cs="Times New Roman"/>
              </w:rPr>
              <w:t xml:space="preserve">ning teabenõude korras on võimalik nõuda </w:t>
            </w:r>
            <w:r w:rsidR="008C0C7D" w:rsidRPr="0070577B">
              <w:rPr>
                <w:rFonts w:ascii="Times New Roman" w:eastAsia="Calibri" w:hAnsi="Times New Roman" w:cs="Times New Roman"/>
                <w:i/>
                <w:iCs/>
              </w:rPr>
              <w:t>„</w:t>
            </w:r>
            <w:r w:rsidR="0070577B" w:rsidRPr="0070577B">
              <w:rPr>
                <w:rFonts w:ascii="Times New Roman" w:eastAsia="Calibri" w:hAnsi="Times New Roman" w:cs="Times New Roman"/>
                <w:i/>
                <w:iCs/>
              </w:rPr>
              <w:t>[kogu] teavet, mis on isikule kättesaadav, sealhulgas selgitusi</w:t>
            </w:r>
            <w:r w:rsidR="0070577B">
              <w:rPr>
                <w:rFonts w:ascii="Times New Roman" w:eastAsia="Calibri" w:hAnsi="Times New Roman" w:cs="Times New Roman"/>
                <w:i/>
                <w:iCs/>
              </w:rPr>
              <w:t xml:space="preserve">“ </w:t>
            </w:r>
            <w:r w:rsidR="0070577B">
              <w:rPr>
                <w:rFonts w:ascii="Times New Roman" w:eastAsia="Calibri" w:hAnsi="Times New Roman" w:cs="Times New Roman"/>
              </w:rPr>
              <w:t>(</w:t>
            </w:r>
            <w:proofErr w:type="spellStart"/>
            <w:r w:rsidR="0070577B">
              <w:rPr>
                <w:rFonts w:ascii="Times New Roman" w:eastAsia="Calibri" w:hAnsi="Times New Roman" w:cs="Times New Roman"/>
              </w:rPr>
              <w:t>KonkS</w:t>
            </w:r>
            <w:proofErr w:type="spellEnd"/>
            <w:r w:rsidR="0070577B">
              <w:rPr>
                <w:rFonts w:ascii="Times New Roman" w:eastAsia="Calibri" w:hAnsi="Times New Roman" w:cs="Times New Roman"/>
              </w:rPr>
              <w:t xml:space="preserve"> § 53</w:t>
            </w:r>
            <w:r w:rsidR="0070577B" w:rsidRPr="00E8060D">
              <w:rPr>
                <w:rFonts w:ascii="Times New Roman" w:eastAsia="Calibri" w:hAnsi="Times New Roman" w:cs="Times New Roman"/>
                <w:vertAlign w:val="superscript"/>
              </w:rPr>
              <w:t>1</w:t>
            </w:r>
            <w:r w:rsidR="0070577B">
              <w:rPr>
                <w:rFonts w:ascii="Times New Roman" w:eastAsia="Calibri" w:hAnsi="Times New Roman" w:cs="Times New Roman"/>
                <w:vertAlign w:val="superscript"/>
              </w:rPr>
              <w:t xml:space="preserve">7 </w:t>
            </w:r>
            <w:r w:rsidR="0070577B">
              <w:rPr>
                <w:rFonts w:ascii="Times New Roman" w:eastAsia="Calibri" w:hAnsi="Times New Roman" w:cs="Times New Roman"/>
              </w:rPr>
              <w:t xml:space="preserve">lõige 1). </w:t>
            </w:r>
          </w:p>
          <w:p w14:paraId="4360977B" w14:textId="10FE6FFD" w:rsidR="005057E6" w:rsidRDefault="003533E0" w:rsidP="00D154CB">
            <w:pPr>
              <w:spacing w:line="276" w:lineRule="auto"/>
              <w:jc w:val="both"/>
              <w:outlineLvl w:val="0"/>
              <w:rPr>
                <w:rFonts w:ascii="Times New Roman" w:eastAsia="Calibri" w:hAnsi="Times New Roman" w:cs="Times New Roman"/>
              </w:rPr>
            </w:pPr>
            <w:r>
              <w:rPr>
                <w:rFonts w:ascii="Times New Roman" w:eastAsia="Calibri" w:hAnsi="Times New Roman" w:cs="Times New Roman"/>
              </w:rPr>
              <w:t>Seetõttu on</w:t>
            </w:r>
            <w:r w:rsidR="00CB29AA">
              <w:rPr>
                <w:rFonts w:ascii="Times New Roman" w:eastAsia="Calibri" w:hAnsi="Times New Roman" w:cs="Times New Roman"/>
              </w:rPr>
              <w:t>,</w:t>
            </w:r>
            <w:r>
              <w:rPr>
                <w:rFonts w:ascii="Times New Roman" w:eastAsia="Calibri" w:hAnsi="Times New Roman" w:cs="Times New Roman"/>
              </w:rPr>
              <w:t xml:space="preserve"> ministeeriumi hinnangul</w:t>
            </w:r>
            <w:r w:rsidR="00CB29AA">
              <w:rPr>
                <w:rFonts w:ascii="Times New Roman" w:eastAsia="Calibri" w:hAnsi="Times New Roman" w:cs="Times New Roman"/>
              </w:rPr>
              <w:t>,</w:t>
            </w:r>
            <w:r>
              <w:rPr>
                <w:rFonts w:ascii="Times New Roman" w:eastAsia="Calibri" w:hAnsi="Times New Roman" w:cs="Times New Roman"/>
              </w:rPr>
              <w:t xml:space="preserve"> </w:t>
            </w:r>
            <w:proofErr w:type="spellStart"/>
            <w:r>
              <w:rPr>
                <w:rFonts w:ascii="Times New Roman" w:eastAsia="Calibri" w:hAnsi="Times New Roman" w:cs="Times New Roman"/>
              </w:rPr>
              <w:t>KonkS</w:t>
            </w:r>
            <w:proofErr w:type="spellEnd"/>
            <w:r>
              <w:rPr>
                <w:rFonts w:ascii="Times New Roman" w:eastAsia="Calibri" w:hAnsi="Times New Roman" w:cs="Times New Roman"/>
              </w:rPr>
              <w:t xml:space="preserve"> §-des 53</w:t>
            </w:r>
            <w:r w:rsidRPr="00E8060D">
              <w:rPr>
                <w:rFonts w:ascii="Times New Roman" w:eastAsia="Calibri" w:hAnsi="Times New Roman" w:cs="Times New Roman"/>
                <w:vertAlign w:val="superscript"/>
              </w:rPr>
              <w:t>15</w:t>
            </w:r>
            <w:r>
              <w:rPr>
                <w:rFonts w:ascii="Times New Roman" w:eastAsia="Calibri" w:hAnsi="Times New Roman" w:cs="Times New Roman"/>
                <w:vertAlign w:val="superscript"/>
              </w:rPr>
              <w:t xml:space="preserve"> </w:t>
            </w:r>
            <w:r>
              <w:rPr>
                <w:rFonts w:ascii="Times New Roman" w:eastAsia="Calibri" w:hAnsi="Times New Roman" w:cs="Times New Roman"/>
              </w:rPr>
              <w:t>ja 53</w:t>
            </w:r>
            <w:r w:rsidRPr="00E8060D">
              <w:rPr>
                <w:rFonts w:ascii="Times New Roman" w:eastAsia="Calibri" w:hAnsi="Times New Roman" w:cs="Times New Roman"/>
                <w:vertAlign w:val="superscript"/>
              </w:rPr>
              <w:t>1</w:t>
            </w:r>
            <w:r>
              <w:rPr>
                <w:rFonts w:ascii="Times New Roman" w:eastAsia="Calibri" w:hAnsi="Times New Roman" w:cs="Times New Roman"/>
                <w:vertAlign w:val="superscript"/>
              </w:rPr>
              <w:t xml:space="preserve">7  </w:t>
            </w:r>
            <w:r>
              <w:rPr>
                <w:rFonts w:ascii="Times New Roman" w:eastAsia="Calibri" w:hAnsi="Times New Roman" w:cs="Times New Roman"/>
              </w:rPr>
              <w:t>sätestatud uurimismeetmed sobivad</w:t>
            </w:r>
            <w:r w:rsidR="002049CC">
              <w:rPr>
                <w:rFonts w:ascii="Times New Roman" w:eastAsia="Calibri" w:hAnsi="Times New Roman" w:cs="Times New Roman"/>
              </w:rPr>
              <w:t xml:space="preserve"> ka selliste uurimistoimingute läbiviimiseks, </w:t>
            </w:r>
            <w:r w:rsidR="00A06891">
              <w:rPr>
                <w:rFonts w:ascii="Times New Roman" w:eastAsia="Calibri" w:hAnsi="Times New Roman" w:cs="Times New Roman"/>
              </w:rPr>
              <w:t>mi</w:t>
            </w:r>
            <w:r w:rsidR="00AB6619">
              <w:rPr>
                <w:rFonts w:ascii="Times New Roman" w:eastAsia="Calibri" w:hAnsi="Times New Roman" w:cs="Times New Roman"/>
              </w:rPr>
              <w:t>s on vajalikud muul eesmärgil kui keelatud teo tuvastamine</w:t>
            </w:r>
            <w:r w:rsidR="009F031B">
              <w:rPr>
                <w:rFonts w:ascii="Times New Roman" w:eastAsia="Calibri" w:hAnsi="Times New Roman" w:cs="Times New Roman"/>
              </w:rPr>
              <w:t xml:space="preserve"> – sh digiturgude määruses ja välisriigi subsiidiumide määruses sätestatud eesmärkide täitmiseks.</w:t>
            </w:r>
            <w:r w:rsidR="005057E6">
              <w:rPr>
                <w:rFonts w:ascii="Times New Roman" w:eastAsia="Calibri" w:hAnsi="Times New Roman" w:cs="Times New Roman"/>
              </w:rPr>
              <w:t xml:space="preserve"> Konkreetse määruse </w:t>
            </w:r>
            <w:r w:rsidR="00451EFA">
              <w:rPr>
                <w:rFonts w:ascii="Times New Roman" w:eastAsia="Calibri" w:hAnsi="Times New Roman" w:cs="Times New Roman"/>
              </w:rPr>
              <w:t xml:space="preserve">eesmärke </w:t>
            </w:r>
            <w:r w:rsidR="001D3D1C">
              <w:rPr>
                <w:rFonts w:ascii="Times New Roman" w:eastAsia="Calibri" w:hAnsi="Times New Roman" w:cs="Times New Roman"/>
              </w:rPr>
              <w:t>tuleb võtta</w:t>
            </w:r>
            <w:r w:rsidR="00451EFA">
              <w:rPr>
                <w:rFonts w:ascii="Times New Roman" w:eastAsia="Calibri" w:hAnsi="Times New Roman" w:cs="Times New Roman"/>
              </w:rPr>
              <w:t xml:space="preserve"> uurimistoimingu </w:t>
            </w:r>
            <w:r w:rsidR="00703E8D">
              <w:rPr>
                <w:rFonts w:ascii="Times New Roman" w:eastAsia="Calibri" w:hAnsi="Times New Roman" w:cs="Times New Roman"/>
              </w:rPr>
              <w:t xml:space="preserve">ettevalmistamisel ja </w:t>
            </w:r>
            <w:r w:rsidR="00451EFA">
              <w:rPr>
                <w:rFonts w:ascii="Times New Roman" w:eastAsia="Calibri" w:hAnsi="Times New Roman" w:cs="Times New Roman"/>
              </w:rPr>
              <w:t xml:space="preserve">läbiviimisel arvesse. </w:t>
            </w:r>
          </w:p>
          <w:p w14:paraId="5BFC4317" w14:textId="77D86A76" w:rsidR="00967FAE" w:rsidRDefault="008F318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Kuna komisjoni uurimis</w:t>
            </w:r>
            <w:r w:rsidR="00975107">
              <w:rPr>
                <w:rFonts w:ascii="Times New Roman" w:eastAsia="Calibri" w:hAnsi="Times New Roman" w:cs="Times New Roman"/>
              </w:rPr>
              <w:t xml:space="preserve">volitused erinevates määrustes on sisuliselt samasugused, siis ei vaja antud küsimus täiendavat analüüsi. Küll aga täiendasime </w:t>
            </w:r>
            <w:r w:rsidR="00CB29AA">
              <w:rPr>
                <w:rFonts w:ascii="Times New Roman" w:eastAsia="Calibri" w:hAnsi="Times New Roman" w:cs="Times New Roman"/>
              </w:rPr>
              <w:t xml:space="preserve">seletuskirja siin olevate selgitustega. </w:t>
            </w:r>
          </w:p>
        </w:tc>
      </w:tr>
      <w:tr w:rsidR="003B43CE" w:rsidRPr="004F72A5" w14:paraId="0D204F4B" w14:textId="77777777" w:rsidTr="00967FAE">
        <w:tc>
          <w:tcPr>
            <w:tcW w:w="745" w:type="dxa"/>
          </w:tcPr>
          <w:p w14:paraId="7186CB38" w14:textId="14540E16" w:rsidR="003B43CE" w:rsidRPr="004F72A5" w:rsidRDefault="00D154CB"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3</w:t>
            </w:r>
          </w:p>
        </w:tc>
        <w:tc>
          <w:tcPr>
            <w:tcW w:w="5291" w:type="dxa"/>
          </w:tcPr>
          <w:p w14:paraId="5B2F22DF" w14:textId="508F4418" w:rsidR="003B43CE" w:rsidRPr="001224D6" w:rsidRDefault="0086278D" w:rsidP="00AE721E">
            <w:pPr>
              <w:spacing w:line="276" w:lineRule="auto"/>
              <w:outlineLvl w:val="0"/>
              <w:rPr>
                <w:rFonts w:ascii="Times New Roman" w:eastAsia="Calibri" w:hAnsi="Times New Roman" w:cs="Times New Roman"/>
              </w:rPr>
            </w:pPr>
            <w:r w:rsidRPr="001224D6">
              <w:rPr>
                <w:rFonts w:ascii="Times New Roman" w:eastAsia="Calibri" w:hAnsi="Times New Roman" w:cs="Times New Roman"/>
              </w:rPr>
              <w:t xml:space="preserve">FSR määrust puudutavalt on seletuskirjas selgitatud, et konkurentsijärelevalvemenetluse algatamata jätmise ja lõpetamise aluseid on vaja täiendada, et välistada olukord, kus Konkurentsiameti menetlustoiming, mille amet teeb tingitult FSR määruse art 14 </w:t>
            </w:r>
            <w:proofErr w:type="spellStart"/>
            <w:r w:rsidRPr="001224D6">
              <w:rPr>
                <w:rFonts w:ascii="Times New Roman" w:eastAsia="Calibri" w:hAnsi="Times New Roman" w:cs="Times New Roman"/>
              </w:rPr>
              <w:t>lg-s</w:t>
            </w:r>
            <w:proofErr w:type="spellEnd"/>
            <w:r w:rsidRPr="001224D6">
              <w:rPr>
                <w:rFonts w:ascii="Times New Roman" w:eastAsia="Calibri" w:hAnsi="Times New Roman" w:cs="Times New Roman"/>
              </w:rPr>
              <w:t xml:space="preserve"> 7 nimetatud Euroopa Komisjoni taotlusest, algataks </w:t>
            </w:r>
            <w:r w:rsidRPr="001224D6">
              <w:rPr>
                <w:rFonts w:ascii="Times New Roman" w:eastAsia="Calibri" w:hAnsi="Times New Roman" w:cs="Times New Roman"/>
              </w:rPr>
              <w:lastRenderedPageBreak/>
              <w:t xml:space="preserve">konkurentsijärelevalvemenetluse. Seda põhjusel, et kehtiv </w:t>
            </w:r>
            <w:proofErr w:type="spellStart"/>
            <w:r w:rsidRPr="001224D6">
              <w:rPr>
                <w:rFonts w:ascii="Times New Roman" w:eastAsia="Calibri" w:hAnsi="Times New Roman" w:cs="Times New Roman"/>
              </w:rPr>
              <w:t>KonkS</w:t>
            </w:r>
            <w:proofErr w:type="spellEnd"/>
            <w:r w:rsidRPr="001224D6">
              <w:rPr>
                <w:rFonts w:ascii="Times New Roman" w:eastAsia="Calibri" w:hAnsi="Times New Roman" w:cs="Times New Roman"/>
              </w:rPr>
              <w:t xml:space="preserve"> § 53</w:t>
            </w:r>
            <w:r w:rsidRPr="000402D1">
              <w:rPr>
                <w:rFonts w:ascii="Times New Roman" w:eastAsia="Calibri" w:hAnsi="Times New Roman" w:cs="Times New Roman"/>
                <w:vertAlign w:val="superscript"/>
              </w:rPr>
              <w:t>6</w:t>
            </w:r>
            <w:r w:rsidRPr="001224D6">
              <w:rPr>
                <w:rFonts w:ascii="Times New Roman" w:eastAsia="Calibri" w:hAnsi="Times New Roman" w:cs="Times New Roman"/>
              </w:rPr>
              <w:t xml:space="preserve"> lg 1 p 1 sätestab, et konkurentsijärelevalvemenetlus algab Konkurentsiameti esimese menetlustoiminguga. Kuna aga FSR määrus ei anna liikmesriigi pädevale asutusele määruse iseseisvat rakendamise pädevust, on eelnõusse kavandatud </w:t>
            </w:r>
            <w:proofErr w:type="spellStart"/>
            <w:r w:rsidRPr="001224D6">
              <w:rPr>
                <w:rFonts w:ascii="Times New Roman" w:eastAsia="Calibri" w:hAnsi="Times New Roman" w:cs="Times New Roman"/>
              </w:rPr>
              <w:t>KonkS</w:t>
            </w:r>
            <w:proofErr w:type="spellEnd"/>
            <w:r w:rsidRPr="001224D6">
              <w:rPr>
                <w:rFonts w:ascii="Times New Roman" w:eastAsia="Calibri" w:hAnsi="Times New Roman" w:cs="Times New Roman"/>
              </w:rPr>
              <w:t xml:space="preserve"> täiendamine §-ga 78</w:t>
            </w:r>
            <w:r w:rsidRPr="001224D6">
              <w:rPr>
                <w:rFonts w:ascii="Times New Roman" w:eastAsia="Calibri" w:hAnsi="Times New Roman" w:cs="Times New Roman"/>
                <w:vertAlign w:val="superscript"/>
              </w:rPr>
              <w:t>24</w:t>
            </w:r>
            <w:r w:rsidRPr="001224D6">
              <w:rPr>
                <w:rFonts w:ascii="Times New Roman" w:eastAsia="Calibri" w:hAnsi="Times New Roman" w:cs="Times New Roman"/>
              </w:rPr>
              <w:t xml:space="preserve">, mille lg 3 näeb ette, et kui Euroopa Komisjon taotleb Konkurentsiametilt ettevõtja või ettevõtjate ühenduse kontrollimist või muu faktide tuvastamise toimingu tegemist, teeb Konkurentsiamet seda kehtivates </w:t>
            </w:r>
            <w:proofErr w:type="spellStart"/>
            <w:r w:rsidRPr="001224D6">
              <w:rPr>
                <w:rFonts w:ascii="Times New Roman" w:eastAsia="Calibri" w:hAnsi="Times New Roman" w:cs="Times New Roman"/>
              </w:rPr>
              <w:t>KonkS</w:t>
            </w:r>
            <w:proofErr w:type="spellEnd"/>
            <w:r w:rsidRPr="001224D6">
              <w:rPr>
                <w:rFonts w:ascii="Times New Roman" w:eastAsia="Calibri" w:hAnsi="Times New Roman" w:cs="Times New Roman"/>
              </w:rPr>
              <w:t xml:space="preserve"> § 53</w:t>
            </w:r>
            <w:r w:rsidRPr="001224D6">
              <w:rPr>
                <w:rFonts w:ascii="Times New Roman" w:eastAsia="Calibri" w:hAnsi="Times New Roman" w:cs="Times New Roman"/>
                <w:vertAlign w:val="superscript"/>
              </w:rPr>
              <w:t>15</w:t>
            </w:r>
            <w:r w:rsidRPr="001224D6">
              <w:rPr>
                <w:rFonts w:ascii="Times New Roman" w:eastAsia="Calibri" w:hAnsi="Times New Roman" w:cs="Times New Roman"/>
              </w:rPr>
              <w:t xml:space="preserve"> (läbiotsimine) ja § 53</w:t>
            </w:r>
            <w:r w:rsidRPr="001224D6">
              <w:rPr>
                <w:rFonts w:ascii="Times New Roman" w:eastAsia="Calibri" w:hAnsi="Times New Roman" w:cs="Times New Roman"/>
                <w:vertAlign w:val="superscript"/>
              </w:rPr>
              <w:t>17</w:t>
            </w:r>
            <w:r w:rsidRPr="001224D6">
              <w:rPr>
                <w:rFonts w:ascii="Times New Roman" w:eastAsia="Calibri" w:hAnsi="Times New Roman" w:cs="Times New Roman"/>
              </w:rPr>
              <w:t xml:space="preserve"> (teabe nõudmine) sätestatu kohaselt. Selle selgitusega ei saa nõustuda. Olukorras, kus Konkurentsiametile on eelnõukohase </w:t>
            </w:r>
            <w:proofErr w:type="spellStart"/>
            <w:r w:rsidRPr="001224D6">
              <w:rPr>
                <w:rFonts w:ascii="Times New Roman" w:eastAsia="Calibri" w:hAnsi="Times New Roman" w:cs="Times New Roman"/>
              </w:rPr>
              <w:t>KonkS</w:t>
            </w:r>
            <w:proofErr w:type="spellEnd"/>
            <w:r w:rsidRPr="001224D6">
              <w:rPr>
                <w:rFonts w:ascii="Times New Roman" w:eastAsia="Calibri" w:hAnsi="Times New Roman" w:cs="Times New Roman"/>
              </w:rPr>
              <w:t xml:space="preserve"> § 78</w:t>
            </w:r>
            <w:r w:rsidRPr="001224D6">
              <w:rPr>
                <w:rFonts w:ascii="Times New Roman" w:eastAsia="Calibri" w:hAnsi="Times New Roman" w:cs="Times New Roman"/>
                <w:vertAlign w:val="superscript"/>
              </w:rPr>
              <w:t>24</w:t>
            </w:r>
            <w:r w:rsidRPr="001224D6">
              <w:rPr>
                <w:rFonts w:ascii="Times New Roman" w:eastAsia="Calibri" w:hAnsi="Times New Roman" w:cs="Times New Roman"/>
              </w:rPr>
              <w:t xml:space="preserve"> </w:t>
            </w:r>
            <w:proofErr w:type="spellStart"/>
            <w:r w:rsidRPr="001224D6">
              <w:rPr>
                <w:rFonts w:ascii="Times New Roman" w:eastAsia="Calibri" w:hAnsi="Times New Roman" w:cs="Times New Roman"/>
              </w:rPr>
              <w:t>lg-ga</w:t>
            </w:r>
            <w:proofErr w:type="spellEnd"/>
            <w:r w:rsidRPr="001224D6">
              <w:rPr>
                <w:rFonts w:ascii="Times New Roman" w:eastAsia="Calibri" w:hAnsi="Times New Roman" w:cs="Times New Roman"/>
              </w:rPr>
              <w:t xml:space="preserve"> 3 ette nähtud õigus rakendada konkurentsijärelevalvemenetluse uurimisvolitusi konkurentsijärelevalvemenetluse väliselt, ei ole tegemist kehtivas </w:t>
            </w:r>
            <w:proofErr w:type="spellStart"/>
            <w:r w:rsidRPr="001224D6">
              <w:rPr>
                <w:rFonts w:ascii="Times New Roman" w:eastAsia="Calibri" w:hAnsi="Times New Roman" w:cs="Times New Roman"/>
              </w:rPr>
              <w:t>KonkS</w:t>
            </w:r>
            <w:proofErr w:type="spellEnd"/>
            <w:r w:rsidRPr="001224D6">
              <w:rPr>
                <w:rFonts w:ascii="Times New Roman" w:eastAsia="Calibri" w:hAnsi="Times New Roman" w:cs="Times New Roman"/>
              </w:rPr>
              <w:t xml:space="preserve"> § 53</w:t>
            </w:r>
            <w:r w:rsidRPr="001224D6">
              <w:rPr>
                <w:rFonts w:ascii="Times New Roman" w:eastAsia="Calibri" w:hAnsi="Times New Roman" w:cs="Times New Roman"/>
                <w:vertAlign w:val="superscript"/>
              </w:rPr>
              <w:t>6</w:t>
            </w:r>
            <w:r w:rsidRPr="001224D6">
              <w:rPr>
                <w:rFonts w:ascii="Times New Roman" w:eastAsia="Calibri" w:hAnsi="Times New Roman" w:cs="Times New Roman"/>
              </w:rPr>
              <w:t xml:space="preserve"> lg 1 p-s 1 sätestatud olukorraga. Nagu eespool juba viidatud, on Konkurentsiametil õigus konkurentsijärelevalve eesmärgil menetlustoiminguid teha vaid juhul, kui on ilmnenud teave, mis viitab keelatud teo toimepanemisele. Kui Euroopa Komisjon taotleb välisriigi subsiidiumist tingitud siseturu moonutuse väljaselgitamise eesmärgil Konkurentsiametilt uurimisvolituste rakendamist ja seadusandja on selliseks puhuks ette näinud õiguse rakendada konkurentsijärelevalvemenetluse uurimisvolitusi, ei saa nende rakendamine algatada konkurentsijärelevalvemenetlust, mis on suunatud keelatud teo toimepanemise tuvastamisele ja vajadusel konkurentsijärelevalvemeetmete kohaldamisele</w:t>
            </w:r>
            <w:r w:rsidR="001224D6" w:rsidRPr="001224D6">
              <w:rPr>
                <w:rFonts w:ascii="Times New Roman" w:eastAsia="Calibri" w:hAnsi="Times New Roman" w:cs="Times New Roman"/>
              </w:rPr>
              <w:t>.</w:t>
            </w:r>
          </w:p>
        </w:tc>
        <w:tc>
          <w:tcPr>
            <w:tcW w:w="2319" w:type="dxa"/>
          </w:tcPr>
          <w:p w14:paraId="3A59A4D8" w14:textId="504B7366" w:rsidR="003B43CE" w:rsidRPr="00D154CB" w:rsidRDefault="00422059" w:rsidP="001F6603">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Arvestatud</w:t>
            </w:r>
          </w:p>
        </w:tc>
        <w:tc>
          <w:tcPr>
            <w:tcW w:w="5639" w:type="dxa"/>
          </w:tcPr>
          <w:p w14:paraId="56C5022C" w14:textId="7C621E95" w:rsidR="00645950" w:rsidRPr="00D41E39" w:rsidRDefault="00845479"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bCs/>
              </w:rPr>
              <w:t xml:space="preserve">Kuna eelnõu täiendatakse </w:t>
            </w:r>
            <w:proofErr w:type="spellStart"/>
            <w:r>
              <w:rPr>
                <w:rFonts w:ascii="Times New Roman" w:eastAsia="Calibri" w:hAnsi="Times New Roman" w:cs="Times New Roman"/>
                <w:bCs/>
              </w:rPr>
              <w:t>KonkS</w:t>
            </w:r>
            <w:proofErr w:type="spellEnd"/>
            <w:r w:rsidR="00422059">
              <w:rPr>
                <w:rFonts w:ascii="Times New Roman" w:eastAsia="Calibri" w:hAnsi="Times New Roman" w:cs="Times New Roman"/>
                <w:bCs/>
              </w:rPr>
              <w:t xml:space="preserve"> </w:t>
            </w:r>
            <w:r w:rsidRPr="00845479">
              <w:rPr>
                <w:rFonts w:ascii="Times New Roman" w:eastAsia="Calibri" w:hAnsi="Times New Roman" w:cs="Times New Roman"/>
                <w:bCs/>
              </w:rPr>
              <w:t>§ 53</w:t>
            </w:r>
            <w:r w:rsidRPr="00845479">
              <w:rPr>
                <w:rFonts w:ascii="Times New Roman" w:eastAsia="Calibri" w:hAnsi="Times New Roman" w:cs="Times New Roman"/>
                <w:bCs/>
                <w:vertAlign w:val="superscript"/>
              </w:rPr>
              <w:t>5</w:t>
            </w:r>
            <w:r w:rsidRPr="00845479">
              <w:rPr>
                <w:rFonts w:ascii="Times New Roman" w:eastAsia="Calibri" w:hAnsi="Times New Roman" w:cs="Times New Roman"/>
                <w:bCs/>
              </w:rPr>
              <w:t xml:space="preserve"> lõi</w:t>
            </w:r>
            <w:r>
              <w:rPr>
                <w:rFonts w:ascii="Times New Roman" w:eastAsia="Calibri" w:hAnsi="Times New Roman" w:cs="Times New Roman"/>
                <w:bCs/>
              </w:rPr>
              <w:t>ke</w:t>
            </w:r>
            <w:r w:rsidRPr="00845479">
              <w:rPr>
                <w:rFonts w:ascii="Times New Roman" w:eastAsia="Calibri" w:hAnsi="Times New Roman" w:cs="Times New Roman"/>
                <w:bCs/>
              </w:rPr>
              <w:t xml:space="preserve"> 3</w:t>
            </w:r>
            <w:r>
              <w:rPr>
                <w:rFonts w:ascii="Times New Roman" w:eastAsia="Calibri" w:hAnsi="Times New Roman" w:cs="Times New Roman"/>
                <w:bCs/>
              </w:rPr>
              <w:t xml:space="preserve"> muutmisega, mille raames täpsustatakse, et </w:t>
            </w:r>
            <w:r w:rsidR="00283ABC">
              <w:rPr>
                <w:rFonts w:ascii="Times New Roman" w:eastAsia="Calibri" w:hAnsi="Times New Roman" w:cs="Times New Roman"/>
                <w:bCs/>
              </w:rPr>
              <w:t>s</w:t>
            </w:r>
            <w:r w:rsidR="00283ABC" w:rsidRPr="00283ABC">
              <w:rPr>
                <w:rFonts w:ascii="Times New Roman" w:eastAsia="Calibri" w:hAnsi="Times New Roman" w:cs="Times New Roman"/>
                <w:bCs/>
              </w:rPr>
              <w:t xml:space="preserve">eaduses sätestatud juhtudel võib Konkurentsiamet viia konkurentsijärelevalvemenetlust läbi </w:t>
            </w:r>
            <w:r w:rsidR="00283ABC" w:rsidRPr="00283ABC">
              <w:rPr>
                <w:rFonts w:ascii="Times New Roman" w:eastAsia="Calibri" w:hAnsi="Times New Roman" w:cs="Times New Roman"/>
                <w:bCs/>
                <w:i/>
                <w:iCs/>
                <w:u w:val="single"/>
              </w:rPr>
              <w:t>või kohaldada konkurentsijärelevalvemenetluse uurimismeetmeid ka muul eesmärgil</w:t>
            </w:r>
            <w:r w:rsidR="00283ABC">
              <w:rPr>
                <w:rFonts w:ascii="Times New Roman" w:eastAsia="Calibri" w:hAnsi="Times New Roman" w:cs="Times New Roman"/>
                <w:bCs/>
              </w:rPr>
              <w:t>, siis ei ole § 53</w:t>
            </w:r>
            <w:r w:rsidR="00283ABC">
              <w:rPr>
                <w:rFonts w:ascii="Times New Roman" w:eastAsia="Calibri" w:hAnsi="Times New Roman" w:cs="Times New Roman"/>
                <w:bCs/>
                <w:vertAlign w:val="superscript"/>
              </w:rPr>
              <w:t xml:space="preserve">6 </w:t>
            </w:r>
            <w:r w:rsidR="00283ABC">
              <w:rPr>
                <w:rFonts w:ascii="Times New Roman" w:eastAsia="Calibri" w:hAnsi="Times New Roman" w:cs="Times New Roman"/>
                <w:bCs/>
              </w:rPr>
              <w:t xml:space="preserve">lõikega </w:t>
            </w:r>
            <w:r w:rsidR="00D41E39">
              <w:rPr>
                <w:rFonts w:ascii="Times New Roman" w:eastAsia="Calibri" w:hAnsi="Times New Roman" w:cs="Times New Roman"/>
                <w:bCs/>
              </w:rPr>
              <w:t>2</w:t>
            </w:r>
            <w:r w:rsidR="00D41E39">
              <w:rPr>
                <w:rFonts w:ascii="Times New Roman" w:eastAsia="Calibri" w:hAnsi="Times New Roman" w:cs="Times New Roman"/>
                <w:bCs/>
                <w:vertAlign w:val="superscript"/>
              </w:rPr>
              <w:t xml:space="preserve">2 </w:t>
            </w:r>
            <w:r w:rsidR="00D41E39">
              <w:rPr>
                <w:rFonts w:ascii="Times New Roman" w:eastAsia="Calibri" w:hAnsi="Times New Roman" w:cs="Times New Roman"/>
                <w:bCs/>
              </w:rPr>
              <w:t xml:space="preserve">täiendamine enam tingimata vajalik. </w:t>
            </w:r>
          </w:p>
          <w:p w14:paraId="5CEDC808" w14:textId="77777777" w:rsidR="00AB157F" w:rsidRPr="00E5614A" w:rsidRDefault="00AB157F" w:rsidP="00FA0F20">
            <w:pPr>
              <w:spacing w:line="276" w:lineRule="auto"/>
              <w:jc w:val="both"/>
              <w:outlineLvl w:val="0"/>
              <w:rPr>
                <w:rFonts w:ascii="Times New Roman" w:eastAsia="Calibri" w:hAnsi="Times New Roman" w:cs="Times New Roman"/>
              </w:rPr>
            </w:pPr>
          </w:p>
          <w:p w14:paraId="1C15D886" w14:textId="694E34ED" w:rsidR="003B43CE" w:rsidRDefault="003B43CE" w:rsidP="00FA0F20">
            <w:pPr>
              <w:spacing w:line="276" w:lineRule="auto"/>
              <w:jc w:val="both"/>
              <w:outlineLvl w:val="0"/>
              <w:rPr>
                <w:rFonts w:ascii="Times New Roman" w:eastAsia="Calibri" w:hAnsi="Times New Roman" w:cs="Times New Roman"/>
              </w:rPr>
            </w:pPr>
          </w:p>
        </w:tc>
      </w:tr>
      <w:tr w:rsidR="00A32599" w:rsidRPr="004F72A5" w14:paraId="71E8C22D" w14:textId="77777777" w:rsidTr="00967FAE">
        <w:tc>
          <w:tcPr>
            <w:tcW w:w="745" w:type="dxa"/>
          </w:tcPr>
          <w:p w14:paraId="5CF2B253" w14:textId="096E2CB7" w:rsidR="00A32599" w:rsidRDefault="00A32599"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4</w:t>
            </w:r>
          </w:p>
        </w:tc>
        <w:tc>
          <w:tcPr>
            <w:tcW w:w="5291" w:type="dxa"/>
          </w:tcPr>
          <w:p w14:paraId="6F5961A7" w14:textId="77777777" w:rsidR="00EB07EE" w:rsidRDefault="00804A3C" w:rsidP="00EB07EE">
            <w:pPr>
              <w:spacing w:line="276" w:lineRule="auto"/>
              <w:outlineLvl w:val="0"/>
              <w:rPr>
                <w:rFonts w:ascii="Times New Roman" w:eastAsia="Calibri" w:hAnsi="Times New Roman" w:cs="Times New Roman"/>
              </w:rPr>
            </w:pPr>
            <w:r w:rsidRPr="00804A3C">
              <w:rPr>
                <w:rFonts w:ascii="Times New Roman" w:eastAsia="Calibri" w:hAnsi="Times New Roman" w:cs="Times New Roman"/>
              </w:rPr>
              <w:t xml:space="preserve">Eelnõukohane </w:t>
            </w:r>
            <w:proofErr w:type="spellStart"/>
            <w:r w:rsidRPr="00804A3C">
              <w:rPr>
                <w:rFonts w:ascii="Times New Roman" w:eastAsia="Calibri" w:hAnsi="Times New Roman" w:cs="Times New Roman"/>
              </w:rPr>
              <w:t>KonkS</w:t>
            </w:r>
            <w:proofErr w:type="spellEnd"/>
            <w:r w:rsidRPr="00804A3C">
              <w:rPr>
                <w:rFonts w:ascii="Times New Roman" w:eastAsia="Calibri" w:hAnsi="Times New Roman" w:cs="Times New Roman"/>
              </w:rPr>
              <w:t xml:space="preserve"> § 78</w:t>
            </w:r>
            <w:r w:rsidRPr="00804A3C">
              <w:rPr>
                <w:rFonts w:ascii="Times New Roman" w:eastAsia="Calibri" w:hAnsi="Times New Roman" w:cs="Times New Roman"/>
                <w:vertAlign w:val="superscript"/>
              </w:rPr>
              <w:t>23</w:t>
            </w:r>
            <w:r w:rsidRPr="00804A3C">
              <w:rPr>
                <w:rFonts w:ascii="Times New Roman" w:eastAsia="Calibri" w:hAnsi="Times New Roman" w:cs="Times New Roman"/>
              </w:rPr>
              <w:t xml:space="preserve"> lg 1 sätestab, et Konkurentsiamet </w:t>
            </w:r>
            <w:r w:rsidRPr="00483624">
              <w:rPr>
                <w:rFonts w:ascii="Times New Roman" w:eastAsia="Calibri" w:hAnsi="Times New Roman" w:cs="Times New Roman"/>
                <w:u w:val="single"/>
              </w:rPr>
              <w:t>võib</w:t>
            </w:r>
            <w:r w:rsidRPr="00804A3C">
              <w:rPr>
                <w:rFonts w:ascii="Times New Roman" w:eastAsia="Calibri" w:hAnsi="Times New Roman" w:cs="Times New Roman"/>
              </w:rPr>
              <w:t xml:space="preserve"> Euroopa Komisjonile osutada abi DSA määruse art 21 </w:t>
            </w:r>
            <w:proofErr w:type="spellStart"/>
            <w:r w:rsidRPr="00804A3C">
              <w:rPr>
                <w:rFonts w:ascii="Times New Roman" w:eastAsia="Calibri" w:hAnsi="Times New Roman" w:cs="Times New Roman"/>
              </w:rPr>
              <w:t>lg-s</w:t>
            </w:r>
            <w:proofErr w:type="spellEnd"/>
            <w:r w:rsidRPr="00804A3C">
              <w:rPr>
                <w:rFonts w:ascii="Times New Roman" w:eastAsia="Calibri" w:hAnsi="Times New Roman" w:cs="Times New Roman"/>
              </w:rPr>
              <w:t xml:space="preserve"> 5 ja art 23 </w:t>
            </w:r>
            <w:proofErr w:type="spellStart"/>
            <w:r w:rsidRPr="00804A3C">
              <w:rPr>
                <w:rFonts w:ascii="Times New Roman" w:eastAsia="Calibri" w:hAnsi="Times New Roman" w:cs="Times New Roman"/>
              </w:rPr>
              <w:t>lg-s</w:t>
            </w:r>
            <w:proofErr w:type="spellEnd"/>
            <w:r w:rsidRPr="00804A3C">
              <w:rPr>
                <w:rFonts w:ascii="Times New Roman" w:eastAsia="Calibri" w:hAnsi="Times New Roman" w:cs="Times New Roman"/>
              </w:rPr>
              <w:t xml:space="preserve"> 3 sätestatud alustel ettevõtjate ja ettevõtjate ühenduste suhtes kontrollide tegemisel ja neile teabenõuete esitamisel. Sätte pinnalt jääb arusaamatuks, millistele kriteeriumitele tuginevalt Konkurentsiamet otsustab, kas ta osutab komisjonile abi või mitte. Seejuures näib aga DSA määruse art 21 lg 5 olevat liikmesriigi pädevale asutusele kohustust, mitte õigust loov, sätestades, et liikmesriikide pädevad asutused esitavad komisjoni taotluse korral talle kogu nende valduses oleva teabe, mis on vajalik DSA määrusega komisjonile pandud ülesannete täitmiseks.</w:t>
            </w:r>
            <w:r w:rsidR="00EB07EE" w:rsidRPr="0029635E">
              <w:rPr>
                <w:rFonts w:ascii="Times New Roman" w:eastAsia="Calibri" w:hAnsi="Times New Roman" w:cs="Times New Roman"/>
              </w:rPr>
              <w:t xml:space="preserve"> </w:t>
            </w:r>
          </w:p>
          <w:p w14:paraId="64B83ED3" w14:textId="77777777" w:rsidR="00EB07EE" w:rsidRDefault="00EB07EE" w:rsidP="00EB07EE">
            <w:pPr>
              <w:spacing w:line="276" w:lineRule="auto"/>
              <w:outlineLvl w:val="0"/>
              <w:rPr>
                <w:rFonts w:ascii="Times New Roman" w:eastAsia="Calibri" w:hAnsi="Times New Roman" w:cs="Times New Roman"/>
              </w:rPr>
            </w:pPr>
          </w:p>
          <w:p w14:paraId="3E0C6E0D" w14:textId="53043D80" w:rsidR="00EB07EE" w:rsidRDefault="00EB07EE" w:rsidP="00EB07EE">
            <w:pPr>
              <w:spacing w:line="276" w:lineRule="auto"/>
              <w:outlineLvl w:val="0"/>
              <w:rPr>
                <w:rFonts w:ascii="Times New Roman" w:eastAsia="Calibri" w:hAnsi="Times New Roman" w:cs="Times New Roman"/>
              </w:rPr>
            </w:pPr>
            <w:r w:rsidRPr="0029635E">
              <w:rPr>
                <w:rFonts w:ascii="Times New Roman" w:eastAsia="Calibri" w:hAnsi="Times New Roman" w:cs="Times New Roman"/>
              </w:rPr>
              <w:t xml:space="preserve">Eelnõukohane </w:t>
            </w:r>
            <w:proofErr w:type="spellStart"/>
            <w:r w:rsidRPr="0029635E">
              <w:rPr>
                <w:rFonts w:ascii="Times New Roman" w:eastAsia="Calibri" w:hAnsi="Times New Roman" w:cs="Times New Roman"/>
              </w:rPr>
              <w:t>KonkS</w:t>
            </w:r>
            <w:proofErr w:type="spellEnd"/>
            <w:r w:rsidRPr="0029635E">
              <w:rPr>
                <w:rFonts w:ascii="Times New Roman" w:eastAsia="Calibri" w:hAnsi="Times New Roman" w:cs="Times New Roman"/>
              </w:rPr>
              <w:t xml:space="preserve"> § 78</w:t>
            </w:r>
            <w:r w:rsidRPr="0029635E">
              <w:rPr>
                <w:rFonts w:ascii="Times New Roman" w:eastAsia="Calibri" w:hAnsi="Times New Roman" w:cs="Times New Roman"/>
                <w:vertAlign w:val="superscript"/>
              </w:rPr>
              <w:t xml:space="preserve">23 </w:t>
            </w:r>
            <w:r w:rsidRPr="0029635E">
              <w:rPr>
                <w:rFonts w:ascii="Times New Roman" w:eastAsia="Calibri" w:hAnsi="Times New Roman" w:cs="Times New Roman"/>
              </w:rPr>
              <w:t xml:space="preserve">lg 3 sätestab, et Konkurentsiamet </w:t>
            </w:r>
            <w:r w:rsidRPr="0029635E">
              <w:rPr>
                <w:rFonts w:ascii="Times New Roman" w:eastAsia="Calibri" w:hAnsi="Times New Roman" w:cs="Times New Roman"/>
                <w:u w:val="single"/>
              </w:rPr>
              <w:t>võib</w:t>
            </w:r>
            <w:r w:rsidRPr="0029635E">
              <w:rPr>
                <w:rFonts w:ascii="Times New Roman" w:eastAsia="Calibri" w:hAnsi="Times New Roman" w:cs="Times New Roman"/>
              </w:rPr>
              <w:t xml:space="preserve"> abistada Euroopa Komisjoni DSA määruse art 16 </w:t>
            </w:r>
            <w:proofErr w:type="spellStart"/>
            <w:r w:rsidRPr="0029635E">
              <w:rPr>
                <w:rFonts w:ascii="Times New Roman" w:eastAsia="Calibri" w:hAnsi="Times New Roman" w:cs="Times New Roman"/>
              </w:rPr>
              <w:t>lg-s</w:t>
            </w:r>
            <w:proofErr w:type="spellEnd"/>
            <w:r w:rsidRPr="0029635E">
              <w:rPr>
                <w:rFonts w:ascii="Times New Roman" w:eastAsia="Calibri" w:hAnsi="Times New Roman" w:cs="Times New Roman"/>
              </w:rPr>
              <w:t xml:space="preserve"> 5 sätestatud turu-uuringu tegemisel. DSA määruse art 16 lg 5 omakorda sätestab, et komisjon võib paluda ühel või mitmel liikmesriigi pädeval asutusel teda turu-uuringus abistada. Kuigi tuleb möönda, et DSA määruse art 16 lg 5 sõnastus tekitab küsimuse, kas liikmesriigi pädevale asutusele on abi osutamine õigus või kohustus, ei ole siiski liikmesriigi seadusandja pädev otsustama, kas DSA määruse art 16 lg 5 loob liikmesriigi pädevale asutusele Euroopa Komisjoni taotluse korral kohustuse või õiguse (vt nt </w:t>
            </w:r>
            <w:proofErr w:type="spellStart"/>
            <w:r w:rsidRPr="0029635E">
              <w:rPr>
                <w:rFonts w:ascii="Times New Roman" w:eastAsia="Calibri" w:hAnsi="Times New Roman" w:cs="Times New Roman"/>
              </w:rPr>
              <w:t>EKo</w:t>
            </w:r>
            <w:proofErr w:type="spellEnd"/>
            <w:r w:rsidRPr="0029635E">
              <w:rPr>
                <w:rFonts w:ascii="Times New Roman" w:eastAsia="Calibri" w:hAnsi="Times New Roman" w:cs="Times New Roman"/>
              </w:rPr>
              <w:t xml:space="preserve"> 16.07.2009 asjas </w:t>
            </w:r>
            <w:proofErr w:type="spellStart"/>
            <w:r w:rsidRPr="0029635E">
              <w:rPr>
                <w:rFonts w:ascii="Times New Roman" w:eastAsia="Calibri" w:hAnsi="Times New Roman" w:cs="Times New Roman"/>
                <w:i/>
                <w:iCs/>
              </w:rPr>
              <w:t>Infopaq</w:t>
            </w:r>
            <w:proofErr w:type="spellEnd"/>
            <w:r w:rsidRPr="0029635E">
              <w:rPr>
                <w:rFonts w:ascii="Times New Roman" w:eastAsia="Calibri" w:hAnsi="Times New Roman" w:cs="Times New Roman"/>
                <w:i/>
                <w:iCs/>
              </w:rPr>
              <w:t xml:space="preserve"> International</w:t>
            </w:r>
            <w:r w:rsidRPr="0029635E">
              <w:rPr>
                <w:rFonts w:ascii="Times New Roman" w:eastAsia="Calibri" w:hAnsi="Times New Roman" w:cs="Times New Roman"/>
              </w:rPr>
              <w:t>, C-5/08, p 27 ja seal viidatud kohtupraktika).</w:t>
            </w:r>
          </w:p>
          <w:p w14:paraId="7DE6C6E7" w14:textId="77777777" w:rsidR="00EB07EE" w:rsidRDefault="00EB07EE" w:rsidP="00EB07EE">
            <w:pPr>
              <w:spacing w:line="276" w:lineRule="auto"/>
              <w:outlineLvl w:val="0"/>
              <w:rPr>
                <w:rFonts w:ascii="Times New Roman" w:eastAsia="Calibri" w:hAnsi="Times New Roman" w:cs="Times New Roman"/>
              </w:rPr>
            </w:pPr>
          </w:p>
          <w:p w14:paraId="65AFEF0B" w14:textId="1969987C" w:rsidR="00A32599" w:rsidRDefault="00EB07EE" w:rsidP="00EB07EE">
            <w:pPr>
              <w:spacing w:line="276" w:lineRule="auto"/>
              <w:outlineLvl w:val="0"/>
              <w:rPr>
                <w:rFonts w:ascii="Times New Roman" w:eastAsia="Calibri" w:hAnsi="Times New Roman" w:cs="Times New Roman"/>
              </w:rPr>
            </w:pPr>
            <w:r w:rsidRPr="00D852BB">
              <w:rPr>
                <w:rFonts w:ascii="Times New Roman" w:eastAsia="Calibri" w:hAnsi="Times New Roman" w:cs="Times New Roman"/>
              </w:rPr>
              <w:t xml:space="preserve">Eelnõukohane </w:t>
            </w:r>
            <w:proofErr w:type="spellStart"/>
            <w:r w:rsidRPr="00D852BB">
              <w:rPr>
                <w:rFonts w:ascii="Times New Roman" w:eastAsia="Calibri" w:hAnsi="Times New Roman" w:cs="Times New Roman"/>
              </w:rPr>
              <w:t>KonkS</w:t>
            </w:r>
            <w:proofErr w:type="spellEnd"/>
            <w:r w:rsidRPr="00D852BB">
              <w:rPr>
                <w:rFonts w:ascii="Times New Roman" w:eastAsia="Calibri" w:hAnsi="Times New Roman" w:cs="Times New Roman"/>
              </w:rPr>
              <w:t xml:space="preserve"> § 78</w:t>
            </w:r>
            <w:r w:rsidRPr="00D852BB">
              <w:rPr>
                <w:rFonts w:ascii="Times New Roman" w:eastAsia="Calibri" w:hAnsi="Times New Roman" w:cs="Times New Roman"/>
                <w:vertAlign w:val="superscript"/>
              </w:rPr>
              <w:t>24</w:t>
            </w:r>
            <w:r w:rsidRPr="00D852BB">
              <w:rPr>
                <w:rFonts w:ascii="Times New Roman" w:eastAsia="Calibri" w:hAnsi="Times New Roman" w:cs="Times New Roman"/>
              </w:rPr>
              <w:t xml:space="preserve"> lg 1 sätestab, et Konkurentsiamet </w:t>
            </w:r>
            <w:r w:rsidRPr="00D852BB">
              <w:rPr>
                <w:rFonts w:ascii="Times New Roman" w:eastAsia="Calibri" w:hAnsi="Times New Roman" w:cs="Times New Roman"/>
                <w:u w:val="single"/>
              </w:rPr>
              <w:t>võib</w:t>
            </w:r>
            <w:r w:rsidRPr="00D852BB">
              <w:rPr>
                <w:rFonts w:ascii="Times New Roman" w:eastAsia="Calibri" w:hAnsi="Times New Roman" w:cs="Times New Roman"/>
              </w:rPr>
              <w:t xml:space="preserve"> FSR määruse artikli 13 </w:t>
            </w:r>
            <w:proofErr w:type="spellStart"/>
            <w:r w:rsidRPr="00D852BB">
              <w:rPr>
                <w:rFonts w:ascii="Times New Roman" w:eastAsia="Calibri" w:hAnsi="Times New Roman" w:cs="Times New Roman"/>
              </w:rPr>
              <w:t>lg</w:t>
            </w:r>
            <w:r>
              <w:rPr>
                <w:rFonts w:ascii="Times New Roman" w:eastAsia="Calibri" w:hAnsi="Times New Roman" w:cs="Times New Roman"/>
              </w:rPr>
              <w:t>-</w:t>
            </w:r>
            <w:r w:rsidRPr="00D852BB">
              <w:rPr>
                <w:rFonts w:ascii="Times New Roman" w:eastAsia="Calibri" w:hAnsi="Times New Roman" w:cs="Times New Roman"/>
              </w:rPr>
              <w:t>s</w:t>
            </w:r>
            <w:proofErr w:type="spellEnd"/>
            <w:r w:rsidRPr="00D852BB">
              <w:rPr>
                <w:rFonts w:ascii="Times New Roman" w:eastAsia="Calibri" w:hAnsi="Times New Roman" w:cs="Times New Roman"/>
              </w:rPr>
              <w:t xml:space="preserve"> 5 ja </w:t>
            </w:r>
            <w:r w:rsidRPr="00D852BB">
              <w:rPr>
                <w:rFonts w:ascii="Times New Roman" w:eastAsia="Calibri" w:hAnsi="Times New Roman" w:cs="Times New Roman"/>
              </w:rPr>
              <w:lastRenderedPageBreak/>
              <w:t xml:space="preserve">art 14 </w:t>
            </w:r>
            <w:proofErr w:type="spellStart"/>
            <w:r w:rsidRPr="00D852BB">
              <w:rPr>
                <w:rFonts w:ascii="Times New Roman" w:eastAsia="Calibri" w:hAnsi="Times New Roman" w:cs="Times New Roman"/>
              </w:rPr>
              <w:t>lg-s</w:t>
            </w:r>
            <w:proofErr w:type="spellEnd"/>
            <w:r w:rsidRPr="00D852BB">
              <w:rPr>
                <w:rFonts w:ascii="Times New Roman" w:eastAsia="Calibri" w:hAnsi="Times New Roman" w:cs="Times New Roman"/>
              </w:rPr>
              <w:t xml:space="preserve"> 5 sätestatud alustel osutada Euroopa Komisjonile viimase taotluse korral abi ettevõtjate ja ettevõtjate ühenduste suhtes kontrollide tegemisel ja neile teabenõuete esitamisel. Ka selle sätte pinnalt jääb arusaamatuks, millistele kriteeriumitele tuginevalt Konkurentsiamet otsustab, kas ta osutab komisjonile abi või mitte. Seejuures nii FSR määruse art 13 lg 5 kui ka art 14 lg 5 näivad olema kohustust, mitte õigust loovad sätted, mis tähendab, et juhul, kui komisjon neile tuginevalt liikmesriigilt abi taotleb, on liikmesriigil kohustus abi osutada. Sellest lähtuvalt võiks veelkord hinnata, kas sõna „võib“ kasutamine on asjakohane</w:t>
            </w:r>
            <w:r>
              <w:rPr>
                <w:rFonts w:ascii="Times New Roman" w:eastAsia="Calibri" w:hAnsi="Times New Roman" w:cs="Times New Roman"/>
              </w:rPr>
              <w:t>.</w:t>
            </w:r>
          </w:p>
        </w:tc>
        <w:tc>
          <w:tcPr>
            <w:tcW w:w="2319" w:type="dxa"/>
          </w:tcPr>
          <w:p w14:paraId="2972717C" w14:textId="764B873C" w:rsidR="00A32599" w:rsidRPr="00EB07EE" w:rsidRDefault="00EB07EE" w:rsidP="001F6603">
            <w:pPr>
              <w:spacing w:line="276" w:lineRule="auto"/>
              <w:jc w:val="both"/>
              <w:outlineLvl w:val="0"/>
              <w:rPr>
                <w:rFonts w:ascii="Times New Roman" w:eastAsia="Calibri" w:hAnsi="Times New Roman" w:cs="Times New Roman"/>
                <w:b/>
                <w:bCs/>
              </w:rPr>
            </w:pPr>
            <w:r w:rsidRPr="00EB07EE">
              <w:rPr>
                <w:rFonts w:ascii="Times New Roman" w:eastAsia="Calibri" w:hAnsi="Times New Roman" w:cs="Times New Roman"/>
                <w:b/>
                <w:bCs/>
              </w:rPr>
              <w:lastRenderedPageBreak/>
              <w:t>Mittearvestatud</w:t>
            </w:r>
          </w:p>
        </w:tc>
        <w:tc>
          <w:tcPr>
            <w:tcW w:w="5639" w:type="dxa"/>
          </w:tcPr>
          <w:p w14:paraId="574BEA25" w14:textId="2A81BCC3" w:rsidR="005D5B4A" w:rsidRPr="005D5B4A" w:rsidRDefault="00C05469" w:rsidP="005D5B4A">
            <w:pPr>
              <w:spacing w:line="276" w:lineRule="auto"/>
              <w:jc w:val="both"/>
              <w:outlineLvl w:val="0"/>
              <w:rPr>
                <w:rFonts w:ascii="Times New Roman" w:eastAsia="Calibri" w:hAnsi="Times New Roman" w:cs="Times New Roman"/>
              </w:rPr>
            </w:pPr>
            <w:r>
              <w:rPr>
                <w:rFonts w:ascii="Times New Roman" w:eastAsia="Calibri" w:hAnsi="Times New Roman" w:cs="Times New Roman"/>
              </w:rPr>
              <w:t>Nii digiturgude määrus, kui välisriigi subsiidiumite määrus on otsekohalduvad liikmesriigile</w:t>
            </w:r>
            <w:r w:rsidR="000F662B">
              <w:rPr>
                <w:rFonts w:ascii="Times New Roman" w:eastAsia="Calibri" w:hAnsi="Times New Roman" w:cs="Times New Roman"/>
              </w:rPr>
              <w:t xml:space="preserve">. Liikmesriigil on omakorda </w:t>
            </w:r>
            <w:r w:rsidR="00A87809">
              <w:rPr>
                <w:rFonts w:ascii="Times New Roman" w:eastAsia="Calibri" w:hAnsi="Times New Roman" w:cs="Times New Roman"/>
              </w:rPr>
              <w:t>kohustus</w:t>
            </w:r>
            <w:r w:rsidR="000544C9">
              <w:rPr>
                <w:rFonts w:ascii="Times New Roman" w:eastAsia="Calibri" w:hAnsi="Times New Roman" w:cs="Times New Roman"/>
              </w:rPr>
              <w:t xml:space="preserve"> </w:t>
            </w:r>
            <w:r w:rsidR="000F662B">
              <w:rPr>
                <w:rFonts w:ascii="Times New Roman" w:eastAsia="Calibri" w:hAnsi="Times New Roman" w:cs="Times New Roman"/>
              </w:rPr>
              <w:t>määrata</w:t>
            </w:r>
            <w:r>
              <w:rPr>
                <w:rFonts w:ascii="Times New Roman" w:eastAsia="Calibri" w:hAnsi="Times New Roman" w:cs="Times New Roman"/>
              </w:rPr>
              <w:t xml:space="preserve"> pädev asutus</w:t>
            </w:r>
            <w:r w:rsidR="00155CFE">
              <w:rPr>
                <w:rFonts w:ascii="Times New Roman" w:eastAsia="Calibri" w:hAnsi="Times New Roman" w:cs="Times New Roman"/>
              </w:rPr>
              <w:t xml:space="preserve"> või asutused</w:t>
            </w:r>
            <w:r>
              <w:rPr>
                <w:rFonts w:ascii="Times New Roman" w:eastAsia="Calibri" w:hAnsi="Times New Roman" w:cs="Times New Roman"/>
              </w:rPr>
              <w:t>, ke</w:t>
            </w:r>
            <w:r w:rsidR="000F662B">
              <w:rPr>
                <w:rFonts w:ascii="Times New Roman" w:eastAsia="Calibri" w:hAnsi="Times New Roman" w:cs="Times New Roman"/>
              </w:rPr>
              <w:t>lle kaudu</w:t>
            </w:r>
            <w:r w:rsidR="001A05F0">
              <w:rPr>
                <w:rFonts w:ascii="Times New Roman" w:eastAsia="Calibri" w:hAnsi="Times New Roman" w:cs="Times New Roman"/>
              </w:rPr>
              <w:t xml:space="preserve"> konkreetsest</w:t>
            </w:r>
            <w:r w:rsidR="000F662B">
              <w:rPr>
                <w:rFonts w:ascii="Times New Roman" w:eastAsia="Calibri" w:hAnsi="Times New Roman" w:cs="Times New Roman"/>
              </w:rPr>
              <w:t xml:space="preserve"> määrusest tulenevaid koostöökohustusi täi</w:t>
            </w:r>
            <w:r w:rsidR="00155CFE">
              <w:rPr>
                <w:rFonts w:ascii="Times New Roman" w:eastAsia="Calibri" w:hAnsi="Times New Roman" w:cs="Times New Roman"/>
              </w:rPr>
              <w:t>ta</w:t>
            </w:r>
            <w:r w:rsidR="00073B5C">
              <w:rPr>
                <w:rFonts w:ascii="Times New Roman" w:eastAsia="Calibri" w:hAnsi="Times New Roman" w:cs="Times New Roman"/>
              </w:rPr>
              <w:t xml:space="preserve">. </w:t>
            </w:r>
            <w:r w:rsidR="002876DF">
              <w:rPr>
                <w:rFonts w:ascii="Times New Roman" w:eastAsia="Calibri" w:hAnsi="Times New Roman" w:cs="Times New Roman"/>
              </w:rPr>
              <w:t>Siinkohal määratakse</w:t>
            </w:r>
            <w:r w:rsidR="00E53C5F">
              <w:rPr>
                <w:rFonts w:ascii="Times New Roman" w:eastAsia="Calibri" w:hAnsi="Times New Roman" w:cs="Times New Roman"/>
              </w:rPr>
              <w:t xml:space="preserve"> pädev</w:t>
            </w:r>
            <w:r w:rsidR="002876DF">
              <w:rPr>
                <w:rFonts w:ascii="Times New Roman" w:eastAsia="Calibri" w:hAnsi="Times New Roman" w:cs="Times New Roman"/>
              </w:rPr>
              <w:t xml:space="preserve"> asutus</w:t>
            </w:r>
            <w:r w:rsidR="001A05F0">
              <w:rPr>
                <w:rFonts w:ascii="Times New Roman" w:eastAsia="Calibri" w:hAnsi="Times New Roman" w:cs="Times New Roman"/>
              </w:rPr>
              <w:t xml:space="preserve"> või asutused</w:t>
            </w:r>
            <w:r w:rsidR="002876DF">
              <w:rPr>
                <w:rFonts w:ascii="Times New Roman" w:eastAsia="Calibri" w:hAnsi="Times New Roman" w:cs="Times New Roman"/>
              </w:rPr>
              <w:t xml:space="preserve"> </w:t>
            </w:r>
            <w:r w:rsidR="008E723F">
              <w:rPr>
                <w:rFonts w:ascii="Times New Roman" w:eastAsia="Calibri" w:hAnsi="Times New Roman" w:cs="Times New Roman"/>
              </w:rPr>
              <w:t>reeglina</w:t>
            </w:r>
            <w:r w:rsidR="008E723F">
              <w:rPr>
                <w:rFonts w:ascii="Times New Roman" w:eastAsia="Calibri" w:hAnsi="Times New Roman" w:cs="Times New Roman"/>
                <w:i/>
                <w:iCs/>
              </w:rPr>
              <w:t xml:space="preserve"> </w:t>
            </w:r>
            <w:r w:rsidR="00A8193D">
              <w:rPr>
                <w:rFonts w:ascii="Times New Roman" w:eastAsia="Calibri" w:hAnsi="Times New Roman" w:cs="Times New Roman"/>
                <w:i/>
                <w:iCs/>
              </w:rPr>
              <w:t xml:space="preserve">de facto </w:t>
            </w:r>
            <w:r w:rsidR="002876DF">
              <w:rPr>
                <w:rFonts w:ascii="Times New Roman" w:eastAsia="Calibri" w:hAnsi="Times New Roman" w:cs="Times New Roman"/>
              </w:rPr>
              <w:t>juba enne seaduse</w:t>
            </w:r>
            <w:r w:rsidR="00A8193D">
              <w:rPr>
                <w:rFonts w:ascii="Times New Roman" w:eastAsia="Calibri" w:hAnsi="Times New Roman" w:cs="Times New Roman"/>
              </w:rPr>
              <w:t xml:space="preserve">s vastava pädevusnormi sätestamist. </w:t>
            </w:r>
            <w:r w:rsidR="00073B5C">
              <w:rPr>
                <w:rFonts w:ascii="Times New Roman" w:eastAsia="Calibri" w:hAnsi="Times New Roman" w:cs="Times New Roman"/>
              </w:rPr>
              <w:t xml:space="preserve">Digiturgude määruse puhul on selliseks asutuseks </w:t>
            </w:r>
            <w:r w:rsidR="00A8193D">
              <w:rPr>
                <w:rFonts w:ascii="Times New Roman" w:eastAsia="Calibri" w:hAnsi="Times New Roman" w:cs="Times New Roman"/>
              </w:rPr>
              <w:t>määratud</w:t>
            </w:r>
            <w:r w:rsidR="002876DF">
              <w:rPr>
                <w:rFonts w:ascii="Times New Roman" w:eastAsia="Calibri" w:hAnsi="Times New Roman" w:cs="Times New Roman"/>
              </w:rPr>
              <w:t xml:space="preserve"> Konkurentsiamet</w:t>
            </w:r>
            <w:r w:rsidR="005D5B4A">
              <w:rPr>
                <w:rFonts w:ascii="Times New Roman" w:eastAsia="Calibri" w:hAnsi="Times New Roman" w:cs="Times New Roman"/>
              </w:rPr>
              <w:t>. Samas, sätestab</w:t>
            </w:r>
            <w:r w:rsidR="00F76390">
              <w:rPr>
                <w:rFonts w:ascii="Times New Roman" w:eastAsia="Calibri" w:hAnsi="Times New Roman" w:cs="Times New Roman"/>
              </w:rPr>
              <w:t xml:space="preserve"> nt</w:t>
            </w:r>
            <w:r w:rsidR="005D5B4A">
              <w:rPr>
                <w:rFonts w:ascii="Times New Roman" w:eastAsia="Calibri" w:hAnsi="Times New Roman" w:cs="Times New Roman"/>
              </w:rPr>
              <w:t xml:space="preserve"> </w:t>
            </w:r>
            <w:r w:rsidR="005D5B4A" w:rsidRPr="005D5B4A">
              <w:rPr>
                <w:rFonts w:ascii="Times New Roman" w:eastAsia="Calibri" w:hAnsi="Times New Roman" w:cs="Times New Roman"/>
              </w:rPr>
              <w:t xml:space="preserve">digiturgude määruse artikli 16 lõige 5, et „komisjon võib paluda </w:t>
            </w:r>
            <w:r w:rsidR="005D5B4A" w:rsidRPr="005D5B4A">
              <w:rPr>
                <w:rFonts w:ascii="Times New Roman" w:eastAsia="Calibri" w:hAnsi="Times New Roman" w:cs="Times New Roman"/>
                <w:i/>
                <w:iCs/>
                <w:u w:val="single"/>
              </w:rPr>
              <w:t>ühel või mitmel liikmesriigi pädeval asutusel</w:t>
            </w:r>
            <w:r w:rsidR="005D5B4A" w:rsidRPr="005D5B4A">
              <w:rPr>
                <w:rFonts w:ascii="Times New Roman" w:eastAsia="Calibri" w:hAnsi="Times New Roman" w:cs="Times New Roman"/>
              </w:rPr>
              <w:t xml:space="preserve"> teda turu-uuringus abistada.“. </w:t>
            </w:r>
            <w:r w:rsidR="005D5B4A">
              <w:rPr>
                <w:rFonts w:ascii="Times New Roman" w:eastAsia="Calibri" w:hAnsi="Times New Roman" w:cs="Times New Roman"/>
              </w:rPr>
              <w:t xml:space="preserve">Seega </w:t>
            </w:r>
            <w:r w:rsidR="002A22BF">
              <w:rPr>
                <w:rFonts w:ascii="Times New Roman" w:eastAsia="Calibri" w:hAnsi="Times New Roman" w:cs="Times New Roman"/>
              </w:rPr>
              <w:t>ei ole välistatud, et konkreetsel juhul võib</w:t>
            </w:r>
            <w:r w:rsidR="00765495">
              <w:rPr>
                <w:rFonts w:ascii="Times New Roman" w:eastAsia="Calibri" w:hAnsi="Times New Roman" w:cs="Times New Roman"/>
              </w:rPr>
              <w:t xml:space="preserve"> liikmesriik</w:t>
            </w:r>
            <w:r w:rsidR="002A22BF">
              <w:rPr>
                <w:rFonts w:ascii="Times New Roman" w:eastAsia="Calibri" w:hAnsi="Times New Roman" w:cs="Times New Roman"/>
              </w:rPr>
              <w:t xml:space="preserve"> lisaks põhipädevust omavale asutusele </w:t>
            </w:r>
            <w:r w:rsidR="00D82281">
              <w:rPr>
                <w:rFonts w:ascii="Times New Roman" w:eastAsia="Calibri" w:hAnsi="Times New Roman" w:cs="Times New Roman"/>
              </w:rPr>
              <w:t xml:space="preserve">kaasata </w:t>
            </w:r>
            <w:r w:rsidR="002A22BF">
              <w:rPr>
                <w:rFonts w:ascii="Times New Roman" w:eastAsia="Calibri" w:hAnsi="Times New Roman" w:cs="Times New Roman"/>
              </w:rPr>
              <w:t>turu-uuringu tegemisse ka muu asutus, kelle</w:t>
            </w:r>
            <w:r w:rsidR="00F76390">
              <w:rPr>
                <w:rFonts w:ascii="Times New Roman" w:eastAsia="Calibri" w:hAnsi="Times New Roman" w:cs="Times New Roman"/>
              </w:rPr>
              <w:t xml:space="preserve"> käes võib olla selleks vajalik ekspertiis ja teave. </w:t>
            </w:r>
            <w:r w:rsidR="002A22BF">
              <w:rPr>
                <w:rFonts w:ascii="Times New Roman" w:eastAsia="Calibri" w:hAnsi="Times New Roman" w:cs="Times New Roman"/>
              </w:rPr>
              <w:t xml:space="preserve"> </w:t>
            </w:r>
            <w:r w:rsidR="005D5B4A" w:rsidRPr="005D5B4A">
              <w:rPr>
                <w:rFonts w:ascii="Times New Roman" w:eastAsia="Calibri" w:hAnsi="Times New Roman" w:cs="Times New Roman"/>
              </w:rPr>
              <w:t xml:space="preserve"> </w:t>
            </w:r>
          </w:p>
          <w:p w14:paraId="25507A37" w14:textId="77777777" w:rsidR="005D5B4A" w:rsidRDefault="005D5B4A" w:rsidP="00FA0F20">
            <w:pPr>
              <w:spacing w:line="276" w:lineRule="auto"/>
              <w:jc w:val="both"/>
              <w:outlineLvl w:val="0"/>
              <w:rPr>
                <w:rFonts w:ascii="Times New Roman" w:eastAsia="Calibri" w:hAnsi="Times New Roman" w:cs="Times New Roman"/>
              </w:rPr>
            </w:pPr>
          </w:p>
          <w:p w14:paraId="7AFC7AA3" w14:textId="2E7C4C13" w:rsidR="005D5B4A" w:rsidRDefault="00681DD5"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V</w:t>
            </w:r>
            <w:r w:rsidR="002876DF">
              <w:rPr>
                <w:rFonts w:ascii="Times New Roman" w:eastAsia="Calibri" w:hAnsi="Times New Roman" w:cs="Times New Roman"/>
              </w:rPr>
              <w:t xml:space="preserve">älisriigi subsiidiumide </w:t>
            </w:r>
            <w:r w:rsidR="00A8193D">
              <w:rPr>
                <w:rFonts w:ascii="Times New Roman" w:eastAsia="Calibri" w:hAnsi="Times New Roman" w:cs="Times New Roman"/>
              </w:rPr>
              <w:t>määruse puhul on</w:t>
            </w:r>
            <w:r>
              <w:rPr>
                <w:rFonts w:ascii="Times New Roman" w:eastAsia="Calibri" w:hAnsi="Times New Roman" w:cs="Times New Roman"/>
              </w:rPr>
              <w:t xml:space="preserve"> Eestis</w:t>
            </w:r>
            <w:r w:rsidR="00A8193D">
              <w:rPr>
                <w:rFonts w:ascii="Times New Roman" w:eastAsia="Calibri" w:hAnsi="Times New Roman" w:cs="Times New Roman"/>
              </w:rPr>
              <w:t xml:space="preserve"> </w:t>
            </w:r>
            <w:r>
              <w:rPr>
                <w:rFonts w:ascii="Times New Roman" w:eastAsia="Calibri" w:hAnsi="Times New Roman" w:cs="Times New Roman"/>
              </w:rPr>
              <w:t>määratud kaks kontaktpunkti ehk pädevat asutust, kes saavad vajadusel komisjoni määruse rakendamisel abistada</w:t>
            </w:r>
            <w:r w:rsidR="00A8193D">
              <w:rPr>
                <w:rFonts w:ascii="Times New Roman" w:eastAsia="Calibri" w:hAnsi="Times New Roman" w:cs="Times New Roman"/>
              </w:rPr>
              <w:t xml:space="preserve"> </w:t>
            </w:r>
            <w:r w:rsidR="001648BC">
              <w:rPr>
                <w:rFonts w:ascii="Times New Roman" w:eastAsia="Calibri" w:hAnsi="Times New Roman" w:cs="Times New Roman"/>
              </w:rPr>
              <w:t>–</w:t>
            </w:r>
            <w:r>
              <w:rPr>
                <w:rFonts w:ascii="Times New Roman" w:eastAsia="Calibri" w:hAnsi="Times New Roman" w:cs="Times New Roman"/>
              </w:rPr>
              <w:t xml:space="preserve"> </w:t>
            </w:r>
            <w:r w:rsidR="001648BC">
              <w:rPr>
                <w:rFonts w:ascii="Times New Roman" w:eastAsia="Calibri" w:hAnsi="Times New Roman" w:cs="Times New Roman"/>
              </w:rPr>
              <w:t>koondumiste kontrolli valdkonna eest vastutab Konkurentsiamet, kuid r</w:t>
            </w:r>
            <w:r w:rsidR="001648BC" w:rsidRPr="001648BC">
              <w:rPr>
                <w:rFonts w:ascii="Times New Roman" w:eastAsia="Calibri" w:hAnsi="Times New Roman" w:cs="Times New Roman"/>
              </w:rPr>
              <w:t>iigihangete valdkonna</w:t>
            </w:r>
            <w:r w:rsidR="001648BC">
              <w:rPr>
                <w:rFonts w:ascii="Times New Roman" w:eastAsia="Calibri" w:hAnsi="Times New Roman" w:cs="Times New Roman"/>
              </w:rPr>
              <w:t xml:space="preserve"> eest</w:t>
            </w:r>
            <w:r w:rsidR="001648BC" w:rsidRPr="001648BC">
              <w:rPr>
                <w:rFonts w:ascii="Times New Roman" w:eastAsia="Calibri" w:hAnsi="Times New Roman" w:cs="Times New Roman"/>
              </w:rPr>
              <w:t xml:space="preserve"> </w:t>
            </w:r>
            <w:r w:rsidR="001648BC">
              <w:rPr>
                <w:rFonts w:ascii="Times New Roman" w:eastAsia="Calibri" w:hAnsi="Times New Roman" w:cs="Times New Roman"/>
              </w:rPr>
              <w:t>vastutab</w:t>
            </w:r>
            <w:r w:rsidR="001648BC" w:rsidRPr="001648BC">
              <w:rPr>
                <w:rFonts w:ascii="Times New Roman" w:eastAsia="Calibri" w:hAnsi="Times New Roman" w:cs="Times New Roman"/>
              </w:rPr>
              <w:t xml:space="preserve"> Rahandusministeerium</w:t>
            </w:r>
            <w:r w:rsidR="001648BC">
              <w:rPr>
                <w:rFonts w:ascii="Times New Roman" w:eastAsia="Calibri" w:hAnsi="Times New Roman" w:cs="Times New Roman"/>
              </w:rPr>
              <w:t xml:space="preserve">. </w:t>
            </w:r>
          </w:p>
          <w:p w14:paraId="192E139B" w14:textId="77777777" w:rsidR="00D82281" w:rsidRDefault="00D82281" w:rsidP="00FA0F20">
            <w:pPr>
              <w:spacing w:line="276" w:lineRule="auto"/>
              <w:jc w:val="both"/>
              <w:outlineLvl w:val="0"/>
              <w:rPr>
                <w:rFonts w:ascii="Times New Roman" w:eastAsia="Calibri" w:hAnsi="Times New Roman" w:cs="Times New Roman"/>
              </w:rPr>
            </w:pPr>
          </w:p>
          <w:p w14:paraId="6D420C86" w14:textId="0D1AACC0" w:rsidR="00681DD5" w:rsidRDefault="00D8228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Siinkohal ei ole välistatud, et riigiasutuste pädevused võivad ajas muutuda. </w:t>
            </w:r>
          </w:p>
          <w:p w14:paraId="72A185DD" w14:textId="77777777" w:rsidR="00D82281" w:rsidRDefault="00D82281" w:rsidP="00FA0F20">
            <w:pPr>
              <w:spacing w:line="276" w:lineRule="auto"/>
              <w:jc w:val="both"/>
              <w:outlineLvl w:val="0"/>
              <w:rPr>
                <w:rFonts w:ascii="Times New Roman" w:eastAsia="Calibri" w:hAnsi="Times New Roman" w:cs="Times New Roman"/>
              </w:rPr>
            </w:pPr>
          </w:p>
          <w:p w14:paraId="5EE6E8A5" w14:textId="7248585F" w:rsidR="00E53C5F" w:rsidRDefault="00D8228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Jagatud pädevuse puhul on tähtis</w:t>
            </w:r>
            <w:r w:rsidR="00464175">
              <w:rPr>
                <w:rFonts w:ascii="Times New Roman" w:eastAsia="Calibri" w:hAnsi="Times New Roman" w:cs="Times New Roman"/>
              </w:rPr>
              <w:t xml:space="preserve"> tagada, et Konkurentsiametile ei tekiks igal juhul kohustust komisjoniga määruse rakendamisel koostööd teha – </w:t>
            </w:r>
            <w:r w:rsidR="003E4727">
              <w:rPr>
                <w:rFonts w:ascii="Times New Roman" w:eastAsia="Calibri" w:hAnsi="Times New Roman" w:cs="Times New Roman"/>
              </w:rPr>
              <w:t xml:space="preserve">nt välisriigi </w:t>
            </w:r>
            <w:proofErr w:type="spellStart"/>
            <w:r w:rsidR="003E4727">
              <w:rPr>
                <w:rFonts w:ascii="Times New Roman" w:eastAsia="Calibri" w:hAnsi="Times New Roman" w:cs="Times New Roman"/>
              </w:rPr>
              <w:t>subsiidiumie</w:t>
            </w:r>
            <w:proofErr w:type="spellEnd"/>
            <w:r w:rsidR="003E4727">
              <w:rPr>
                <w:rFonts w:ascii="Times New Roman" w:eastAsia="Calibri" w:hAnsi="Times New Roman" w:cs="Times New Roman"/>
              </w:rPr>
              <w:t xml:space="preserve"> määruse puhul </w:t>
            </w:r>
            <w:r w:rsidR="00464175">
              <w:rPr>
                <w:rFonts w:ascii="Times New Roman" w:eastAsia="Calibri" w:hAnsi="Times New Roman" w:cs="Times New Roman"/>
              </w:rPr>
              <w:t xml:space="preserve">nii komisjoni koondumiste kontrolli, riigihankemenetluse, kui ka kõikide </w:t>
            </w:r>
            <w:proofErr w:type="spellStart"/>
            <w:r w:rsidR="00464175" w:rsidRPr="00464175">
              <w:rPr>
                <w:rFonts w:ascii="Times New Roman" w:eastAsia="Calibri" w:hAnsi="Times New Roman" w:cs="Times New Roman"/>
                <w:i/>
                <w:iCs/>
              </w:rPr>
              <w:t>ex</w:t>
            </w:r>
            <w:proofErr w:type="spellEnd"/>
            <w:r w:rsidR="00464175" w:rsidRPr="00464175">
              <w:rPr>
                <w:rFonts w:ascii="Times New Roman" w:eastAsia="Calibri" w:hAnsi="Times New Roman" w:cs="Times New Roman"/>
                <w:i/>
                <w:iCs/>
              </w:rPr>
              <w:t xml:space="preserve"> </w:t>
            </w:r>
            <w:proofErr w:type="spellStart"/>
            <w:r w:rsidR="00464175" w:rsidRPr="00464175">
              <w:rPr>
                <w:rFonts w:ascii="Times New Roman" w:eastAsia="Calibri" w:hAnsi="Times New Roman" w:cs="Times New Roman"/>
                <w:i/>
                <w:iCs/>
              </w:rPr>
              <w:t>officio</w:t>
            </w:r>
            <w:proofErr w:type="spellEnd"/>
            <w:r w:rsidR="00464175">
              <w:rPr>
                <w:rFonts w:ascii="Times New Roman" w:eastAsia="Calibri" w:hAnsi="Times New Roman" w:cs="Times New Roman"/>
              </w:rPr>
              <w:t xml:space="preserve"> menetluste puhul. </w:t>
            </w:r>
            <w:r w:rsidR="00A8776E">
              <w:rPr>
                <w:rFonts w:ascii="Times New Roman" w:eastAsia="Calibri" w:hAnsi="Times New Roman" w:cs="Times New Roman"/>
              </w:rPr>
              <w:t xml:space="preserve">Selline kohustus </w:t>
            </w:r>
            <w:r w:rsidR="008C26DA">
              <w:rPr>
                <w:rFonts w:ascii="Times New Roman" w:eastAsia="Calibri" w:hAnsi="Times New Roman" w:cs="Times New Roman"/>
              </w:rPr>
              <w:t>saab</w:t>
            </w:r>
            <w:r w:rsidR="00A8776E">
              <w:rPr>
                <w:rFonts w:ascii="Times New Roman" w:eastAsia="Calibri" w:hAnsi="Times New Roman" w:cs="Times New Roman"/>
              </w:rPr>
              <w:t xml:space="preserve"> ametil ol</w:t>
            </w:r>
            <w:r w:rsidR="008C26DA">
              <w:rPr>
                <w:rFonts w:ascii="Times New Roman" w:eastAsia="Calibri" w:hAnsi="Times New Roman" w:cs="Times New Roman"/>
              </w:rPr>
              <w:t>la</w:t>
            </w:r>
            <w:r w:rsidR="00A8776E">
              <w:rPr>
                <w:rFonts w:ascii="Times New Roman" w:eastAsia="Calibri" w:hAnsi="Times New Roman" w:cs="Times New Roman"/>
              </w:rPr>
              <w:t xml:space="preserve"> ainult siis kui konkreetne komisjoni menetluses olev asi on </w:t>
            </w:r>
            <w:r w:rsidR="00A8776E">
              <w:rPr>
                <w:rFonts w:ascii="Times New Roman" w:eastAsia="Calibri" w:hAnsi="Times New Roman" w:cs="Times New Roman"/>
              </w:rPr>
              <w:lastRenderedPageBreak/>
              <w:t>Konkurentsiameti pädevuses.</w:t>
            </w:r>
            <w:r w:rsidR="00EF573A">
              <w:rPr>
                <w:rFonts w:ascii="Times New Roman" w:eastAsia="Calibri" w:hAnsi="Times New Roman" w:cs="Times New Roman"/>
              </w:rPr>
              <w:t xml:space="preserve"> Viimane ongi ainus kriteerium otsustamaks, kas Konkurentsiamet</w:t>
            </w:r>
            <w:r w:rsidR="00AF72A8">
              <w:rPr>
                <w:rFonts w:ascii="Times New Roman" w:eastAsia="Calibri" w:hAnsi="Times New Roman" w:cs="Times New Roman"/>
              </w:rPr>
              <w:t xml:space="preserve"> teeb määruse rakendamisel komisjoniga koostööd </w:t>
            </w:r>
            <w:r w:rsidR="004F1970">
              <w:rPr>
                <w:rFonts w:ascii="Times New Roman" w:eastAsia="Calibri" w:hAnsi="Times New Roman" w:cs="Times New Roman"/>
              </w:rPr>
              <w:t>või mitte. Juhul kui Konkurentsiamet komisjoniga konkreetse</w:t>
            </w:r>
            <w:r w:rsidR="00F615A3">
              <w:rPr>
                <w:rFonts w:ascii="Times New Roman" w:eastAsia="Calibri" w:hAnsi="Times New Roman" w:cs="Times New Roman"/>
              </w:rPr>
              <w:t>s asjas koostööd ei tee</w:t>
            </w:r>
            <w:r w:rsidR="004F1970">
              <w:rPr>
                <w:rFonts w:ascii="Times New Roman" w:eastAsia="Calibri" w:hAnsi="Times New Roman" w:cs="Times New Roman"/>
              </w:rPr>
              <w:t xml:space="preserve">, siis teeb </w:t>
            </w:r>
            <w:r w:rsidR="00F615A3">
              <w:rPr>
                <w:rFonts w:ascii="Times New Roman" w:eastAsia="Calibri" w:hAnsi="Times New Roman" w:cs="Times New Roman"/>
              </w:rPr>
              <w:t>seda muu selleks pädev riigiasutus</w:t>
            </w:r>
            <w:r w:rsidR="002D7967">
              <w:rPr>
                <w:rFonts w:ascii="Times New Roman" w:eastAsia="Calibri" w:hAnsi="Times New Roman" w:cs="Times New Roman"/>
              </w:rPr>
              <w:t xml:space="preserve"> – st </w:t>
            </w:r>
            <w:r w:rsidR="00F615A3">
              <w:rPr>
                <w:rFonts w:ascii="Times New Roman" w:eastAsia="Calibri" w:hAnsi="Times New Roman" w:cs="Times New Roman"/>
              </w:rPr>
              <w:t xml:space="preserve">liikmesriigi </w:t>
            </w:r>
            <w:r w:rsidR="005D5B4A">
              <w:rPr>
                <w:rFonts w:ascii="Times New Roman" w:eastAsia="Calibri" w:hAnsi="Times New Roman" w:cs="Times New Roman"/>
              </w:rPr>
              <w:t>määrusest tulenev</w:t>
            </w:r>
            <w:r w:rsidR="002D7967">
              <w:rPr>
                <w:rFonts w:ascii="Times New Roman" w:eastAsia="Calibri" w:hAnsi="Times New Roman" w:cs="Times New Roman"/>
              </w:rPr>
              <w:t>ad</w:t>
            </w:r>
            <w:r w:rsidR="005D5B4A">
              <w:rPr>
                <w:rFonts w:ascii="Times New Roman" w:eastAsia="Calibri" w:hAnsi="Times New Roman" w:cs="Times New Roman"/>
              </w:rPr>
              <w:t xml:space="preserve"> kohustus</w:t>
            </w:r>
            <w:r w:rsidR="002D7967">
              <w:rPr>
                <w:rFonts w:ascii="Times New Roman" w:eastAsia="Calibri" w:hAnsi="Times New Roman" w:cs="Times New Roman"/>
              </w:rPr>
              <w:t>ed</w:t>
            </w:r>
            <w:r w:rsidR="005D5B4A">
              <w:rPr>
                <w:rFonts w:ascii="Times New Roman" w:eastAsia="Calibri" w:hAnsi="Times New Roman" w:cs="Times New Roman"/>
              </w:rPr>
              <w:t xml:space="preserve"> pea</w:t>
            </w:r>
            <w:r w:rsidR="002D7967">
              <w:rPr>
                <w:rFonts w:ascii="Times New Roman" w:eastAsia="Calibri" w:hAnsi="Times New Roman" w:cs="Times New Roman"/>
              </w:rPr>
              <w:t>vad</w:t>
            </w:r>
            <w:r w:rsidR="005D5B4A">
              <w:rPr>
                <w:rFonts w:ascii="Times New Roman" w:eastAsia="Calibri" w:hAnsi="Times New Roman" w:cs="Times New Roman"/>
              </w:rPr>
              <w:t xml:space="preserve"> igal juhul täidetud</w:t>
            </w:r>
            <w:r w:rsidR="00CA3E72">
              <w:rPr>
                <w:rFonts w:ascii="Times New Roman" w:eastAsia="Calibri" w:hAnsi="Times New Roman" w:cs="Times New Roman"/>
              </w:rPr>
              <w:t xml:space="preserve"> saama</w:t>
            </w:r>
            <w:r w:rsidR="005D5B4A">
              <w:rPr>
                <w:rFonts w:ascii="Times New Roman" w:eastAsia="Calibri" w:hAnsi="Times New Roman" w:cs="Times New Roman"/>
              </w:rPr>
              <w:t xml:space="preserve">. </w:t>
            </w:r>
          </w:p>
          <w:p w14:paraId="2225C316" w14:textId="77777777" w:rsidR="00E53C5F" w:rsidRDefault="00E53C5F" w:rsidP="00FA0F20">
            <w:pPr>
              <w:spacing w:line="276" w:lineRule="auto"/>
              <w:jc w:val="both"/>
              <w:outlineLvl w:val="0"/>
              <w:rPr>
                <w:rFonts w:ascii="Times New Roman" w:eastAsia="Calibri" w:hAnsi="Times New Roman" w:cs="Times New Roman"/>
              </w:rPr>
            </w:pPr>
          </w:p>
          <w:p w14:paraId="2864B450" w14:textId="17B271CB" w:rsidR="00D82281" w:rsidRDefault="00102492" w:rsidP="00D82281">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 </w:t>
            </w:r>
          </w:p>
          <w:p w14:paraId="26785886" w14:textId="3A6637C1" w:rsidR="00102492" w:rsidRDefault="00102492" w:rsidP="00FA0F20">
            <w:pPr>
              <w:spacing w:line="276" w:lineRule="auto"/>
              <w:jc w:val="both"/>
              <w:outlineLvl w:val="0"/>
              <w:rPr>
                <w:rFonts w:ascii="Times New Roman" w:eastAsia="Calibri" w:hAnsi="Times New Roman" w:cs="Times New Roman"/>
              </w:rPr>
            </w:pPr>
          </w:p>
        </w:tc>
      </w:tr>
      <w:tr w:rsidR="0029635E" w:rsidRPr="004F72A5" w14:paraId="6F9EA1F4" w14:textId="77777777" w:rsidTr="00967FAE">
        <w:tc>
          <w:tcPr>
            <w:tcW w:w="745" w:type="dxa"/>
          </w:tcPr>
          <w:p w14:paraId="5B42AF97" w14:textId="0B81DF92" w:rsidR="0029635E" w:rsidRDefault="0015316B" w:rsidP="00F2786E">
            <w:pPr>
              <w:spacing w:line="276"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5</w:t>
            </w:r>
          </w:p>
        </w:tc>
        <w:tc>
          <w:tcPr>
            <w:tcW w:w="5291" w:type="dxa"/>
          </w:tcPr>
          <w:p w14:paraId="28572021" w14:textId="7501E703" w:rsidR="0029635E" w:rsidRPr="0029635E" w:rsidRDefault="00B9752D" w:rsidP="00AE721E">
            <w:pPr>
              <w:spacing w:line="276" w:lineRule="auto"/>
              <w:outlineLvl w:val="0"/>
              <w:rPr>
                <w:rFonts w:ascii="Times New Roman" w:eastAsia="Calibri" w:hAnsi="Times New Roman" w:cs="Times New Roman"/>
              </w:rPr>
            </w:pPr>
            <w:r w:rsidRPr="00B9752D">
              <w:rPr>
                <w:rFonts w:ascii="Times New Roman" w:eastAsia="Calibri" w:hAnsi="Times New Roman" w:cs="Times New Roman"/>
              </w:rPr>
              <w:t xml:space="preserve">Eelnõukohane </w:t>
            </w:r>
            <w:proofErr w:type="spellStart"/>
            <w:r w:rsidRPr="00B9752D">
              <w:rPr>
                <w:rFonts w:ascii="Times New Roman" w:eastAsia="Calibri" w:hAnsi="Times New Roman" w:cs="Times New Roman"/>
              </w:rPr>
              <w:t>KonkS</w:t>
            </w:r>
            <w:proofErr w:type="spellEnd"/>
            <w:r w:rsidRPr="00B9752D">
              <w:rPr>
                <w:rFonts w:ascii="Times New Roman" w:eastAsia="Calibri" w:hAnsi="Times New Roman" w:cs="Times New Roman"/>
              </w:rPr>
              <w:t xml:space="preserve"> § 78</w:t>
            </w:r>
            <w:r w:rsidRPr="008302A9">
              <w:rPr>
                <w:rFonts w:ascii="Times New Roman" w:eastAsia="Calibri" w:hAnsi="Times New Roman" w:cs="Times New Roman"/>
                <w:vertAlign w:val="superscript"/>
              </w:rPr>
              <w:t>23</w:t>
            </w:r>
            <w:r w:rsidRPr="00B9752D">
              <w:rPr>
                <w:rFonts w:ascii="Times New Roman" w:eastAsia="Calibri" w:hAnsi="Times New Roman" w:cs="Times New Roman"/>
              </w:rPr>
              <w:t xml:space="preserve"> lg 4 sätestab, et Konkurentsiametil on õigus omal algatusel uurida DSA määruse artiklite 5–7 võimalikku täitmata jätmist Eesti territooriumil, algatades selleks konkurentsijärelevalvemenetluse. Sätte teise lause kohaselt, enne esimese menetlustoimingu tegemist, tuleb Konkurentsiametil sellest kirjalikult Euroopa Komisjoni teavitada. Seletuskirja kohaselt on tegemist DSA määruse art 38 lg 7 rakendusmeetmega. Lisaks eespool öeldule, võiks kõnesoleva lg 4 osas veelkord mõelda sätte sõnastusele. Praegune sõnastus on suurel määral DSA määruse artikli enda sõnastus, mis ei ole Eesti õigusele omane</w:t>
            </w:r>
            <w:r w:rsidR="008302A9">
              <w:rPr>
                <w:rFonts w:ascii="Times New Roman" w:eastAsia="Calibri" w:hAnsi="Times New Roman" w:cs="Times New Roman"/>
              </w:rPr>
              <w:t xml:space="preserve">. </w:t>
            </w:r>
            <w:r w:rsidR="008302A9" w:rsidRPr="008302A9">
              <w:rPr>
                <w:rFonts w:ascii="Times New Roman" w:eastAsia="Calibri" w:hAnsi="Times New Roman" w:cs="Times New Roman"/>
              </w:rPr>
              <w:t xml:space="preserve">Nt kas viide omal algatusel uurimispädevusele on vajalik ning kas Euroopa Komisjoni teavitamise osas on asjakohane sätestada kirjalik vorminõue, mis </w:t>
            </w:r>
            <w:proofErr w:type="spellStart"/>
            <w:r w:rsidR="008302A9" w:rsidRPr="008302A9">
              <w:rPr>
                <w:rFonts w:ascii="Times New Roman" w:eastAsia="Calibri" w:hAnsi="Times New Roman" w:cs="Times New Roman"/>
              </w:rPr>
              <w:t>TsÜS</w:t>
            </w:r>
            <w:proofErr w:type="spellEnd"/>
            <w:r w:rsidR="008302A9" w:rsidRPr="008302A9">
              <w:rPr>
                <w:rFonts w:ascii="Times New Roman" w:eastAsia="Calibri" w:hAnsi="Times New Roman" w:cs="Times New Roman"/>
              </w:rPr>
              <w:t xml:space="preserve"> §-st 78 tulenevalt eeldab isiku omakäelist allkirja. Seejuures tasuks ka mõelda, kas lg 4 teise lause sätestamine </w:t>
            </w:r>
            <w:proofErr w:type="spellStart"/>
            <w:r w:rsidR="008302A9" w:rsidRPr="008302A9">
              <w:rPr>
                <w:rFonts w:ascii="Times New Roman" w:eastAsia="Calibri" w:hAnsi="Times New Roman" w:cs="Times New Roman"/>
              </w:rPr>
              <w:t>KonkS</w:t>
            </w:r>
            <w:r w:rsidR="008302A9">
              <w:rPr>
                <w:rFonts w:ascii="Times New Roman" w:eastAsia="Calibri" w:hAnsi="Times New Roman" w:cs="Times New Roman"/>
              </w:rPr>
              <w:t>-</w:t>
            </w:r>
            <w:r w:rsidR="008302A9" w:rsidRPr="008302A9">
              <w:rPr>
                <w:rFonts w:ascii="Times New Roman" w:eastAsia="Calibri" w:hAnsi="Times New Roman" w:cs="Times New Roman"/>
              </w:rPr>
              <w:t>is</w:t>
            </w:r>
            <w:proofErr w:type="spellEnd"/>
            <w:r w:rsidR="008302A9" w:rsidRPr="008302A9">
              <w:rPr>
                <w:rFonts w:ascii="Times New Roman" w:eastAsia="Calibri" w:hAnsi="Times New Roman" w:cs="Times New Roman"/>
              </w:rPr>
              <w:t xml:space="preserve"> on üldse vajalik ja lubatud (vt nt </w:t>
            </w:r>
            <w:proofErr w:type="spellStart"/>
            <w:r w:rsidR="008302A9" w:rsidRPr="008302A9">
              <w:rPr>
                <w:rFonts w:ascii="Times New Roman" w:eastAsia="Calibri" w:hAnsi="Times New Roman" w:cs="Times New Roman"/>
              </w:rPr>
              <w:t>EKo</w:t>
            </w:r>
            <w:proofErr w:type="spellEnd"/>
            <w:r w:rsidR="008302A9" w:rsidRPr="008302A9">
              <w:rPr>
                <w:rFonts w:ascii="Times New Roman" w:eastAsia="Calibri" w:hAnsi="Times New Roman" w:cs="Times New Roman"/>
              </w:rPr>
              <w:t xml:space="preserve"> 14.06.2012 asjas ANAFE, C-606/10, </w:t>
            </w:r>
            <w:r w:rsidR="008302A9" w:rsidRPr="008302A9">
              <w:rPr>
                <w:rFonts w:ascii="Times New Roman" w:eastAsia="Calibri" w:hAnsi="Times New Roman" w:cs="Times New Roman"/>
              </w:rPr>
              <w:lastRenderedPageBreak/>
              <w:t>p-d 72 ja 73). EL määrus on vahetult kohalduv ja seeläbi üldjuhul ka vahetut õigusmõju omav õigusakt, mille ümberkirjutamine riigisisesesse õigusesse ei ole vajalik ega lubatud. Seega tuleks hinnata, kas DSA määruse art 38 lg 7 esimese taande teine lause eeldab vahetu õigusmõju omamiseks riigisisest rakendamist.</w:t>
            </w:r>
          </w:p>
        </w:tc>
        <w:tc>
          <w:tcPr>
            <w:tcW w:w="2319" w:type="dxa"/>
          </w:tcPr>
          <w:p w14:paraId="31785786" w14:textId="5EB6ACAD" w:rsidR="0029635E" w:rsidRPr="00B1228F" w:rsidRDefault="00B1228F" w:rsidP="001F6603">
            <w:pPr>
              <w:spacing w:line="276" w:lineRule="auto"/>
              <w:jc w:val="both"/>
              <w:outlineLvl w:val="0"/>
              <w:rPr>
                <w:rFonts w:ascii="Times New Roman" w:eastAsia="Calibri" w:hAnsi="Times New Roman" w:cs="Times New Roman"/>
                <w:b/>
                <w:bCs/>
              </w:rPr>
            </w:pPr>
            <w:r>
              <w:rPr>
                <w:rFonts w:ascii="Times New Roman" w:eastAsia="Calibri" w:hAnsi="Times New Roman" w:cs="Times New Roman"/>
                <w:b/>
                <w:bCs/>
              </w:rPr>
              <w:lastRenderedPageBreak/>
              <w:t>Mittearvestatud</w:t>
            </w:r>
          </w:p>
        </w:tc>
        <w:tc>
          <w:tcPr>
            <w:tcW w:w="5639" w:type="dxa"/>
          </w:tcPr>
          <w:p w14:paraId="5DB7D4D8" w14:textId="58A22B79" w:rsidR="00B9320F" w:rsidRDefault="00B9320F"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Digiturgude määruse artikli 38 lõike 7 kohaselt on liikmesriigi pädeval asutusel õigus </w:t>
            </w:r>
            <w:r w:rsidR="005245F2" w:rsidRPr="005245F2">
              <w:rPr>
                <w:rFonts w:ascii="Times New Roman" w:eastAsia="Calibri" w:hAnsi="Times New Roman" w:cs="Times New Roman"/>
              </w:rPr>
              <w:t>omal algatusel uurida määruse artiklite 5,</w:t>
            </w:r>
            <w:r w:rsidR="005245F2">
              <w:rPr>
                <w:rFonts w:ascii="Times New Roman" w:eastAsia="Calibri" w:hAnsi="Times New Roman" w:cs="Times New Roman"/>
              </w:rPr>
              <w:t xml:space="preserve"> 6 ja </w:t>
            </w:r>
            <w:r w:rsidR="005245F2" w:rsidRPr="005245F2">
              <w:rPr>
                <w:rFonts w:ascii="Times New Roman" w:eastAsia="Calibri" w:hAnsi="Times New Roman" w:cs="Times New Roman"/>
              </w:rPr>
              <w:t>7 võimalikku täitmata jätmist oma</w:t>
            </w:r>
            <w:r w:rsidR="005245F2">
              <w:rPr>
                <w:rFonts w:ascii="Times New Roman" w:eastAsia="Calibri" w:hAnsi="Times New Roman" w:cs="Times New Roman"/>
              </w:rPr>
              <w:t xml:space="preserve"> riigi</w:t>
            </w:r>
            <w:r w:rsidR="005245F2" w:rsidRPr="005245F2">
              <w:rPr>
                <w:rFonts w:ascii="Times New Roman" w:eastAsia="Calibri" w:hAnsi="Times New Roman" w:cs="Times New Roman"/>
              </w:rPr>
              <w:t xml:space="preserve"> territooriumil</w:t>
            </w:r>
            <w:r w:rsidR="005245F2">
              <w:rPr>
                <w:rFonts w:ascii="Times New Roman" w:eastAsia="Calibri" w:hAnsi="Times New Roman" w:cs="Times New Roman"/>
              </w:rPr>
              <w:t xml:space="preserve"> ainult siis, kui talle on </w:t>
            </w:r>
            <w:r w:rsidRPr="00B9320F">
              <w:rPr>
                <w:rFonts w:ascii="Times New Roman" w:eastAsia="Calibri" w:hAnsi="Times New Roman" w:cs="Times New Roman"/>
              </w:rPr>
              <w:t xml:space="preserve">liikmesriigi õiguse kohaselt </w:t>
            </w:r>
            <w:r w:rsidR="005245F2">
              <w:rPr>
                <w:rFonts w:ascii="Times New Roman" w:eastAsia="Calibri" w:hAnsi="Times New Roman" w:cs="Times New Roman"/>
              </w:rPr>
              <w:t xml:space="preserve">antud </w:t>
            </w:r>
            <w:r w:rsidRPr="00B9320F">
              <w:rPr>
                <w:rFonts w:ascii="Times New Roman" w:eastAsia="Calibri" w:hAnsi="Times New Roman" w:cs="Times New Roman"/>
              </w:rPr>
              <w:t>selleks pädevus ja uurimisvolitused</w:t>
            </w:r>
            <w:r w:rsidR="005245F2">
              <w:rPr>
                <w:rFonts w:ascii="Times New Roman" w:eastAsia="Calibri" w:hAnsi="Times New Roman" w:cs="Times New Roman"/>
              </w:rPr>
              <w:t xml:space="preserve">. </w:t>
            </w:r>
            <w:r w:rsidR="00C753A3">
              <w:rPr>
                <w:rFonts w:ascii="Times New Roman" w:eastAsia="Calibri" w:hAnsi="Times New Roman" w:cs="Times New Roman"/>
              </w:rPr>
              <w:t>Sama lõike teises lauses täpsustatakse, et e</w:t>
            </w:r>
            <w:r w:rsidR="00C753A3" w:rsidRPr="00C753A3">
              <w:rPr>
                <w:rFonts w:ascii="Times New Roman" w:eastAsia="Calibri" w:hAnsi="Times New Roman" w:cs="Times New Roman"/>
              </w:rPr>
              <w:t>nne esimese ametliku uurimistoimingu tegemist teavitab kõnealune asutus sellest kirjalikult komisjoni.</w:t>
            </w:r>
            <w:r w:rsidR="002D6351">
              <w:rPr>
                <w:rFonts w:ascii="Times New Roman" w:eastAsia="Calibri" w:hAnsi="Times New Roman" w:cs="Times New Roman"/>
              </w:rPr>
              <w:t xml:space="preserve"> </w:t>
            </w:r>
            <w:r w:rsidR="0067413A">
              <w:rPr>
                <w:rFonts w:ascii="Times New Roman" w:eastAsia="Calibri" w:hAnsi="Times New Roman" w:cs="Times New Roman"/>
              </w:rPr>
              <w:t>Tegemist on seega olukorraga, kus määruse kõnealuse rakendamise võimaldamiseks</w:t>
            </w:r>
            <w:r w:rsidR="00A67154">
              <w:rPr>
                <w:rFonts w:ascii="Times New Roman" w:eastAsia="Calibri" w:hAnsi="Times New Roman" w:cs="Times New Roman"/>
              </w:rPr>
              <w:t xml:space="preserve"> ei piisa vaid määruse vahetust mõjust, vaid</w:t>
            </w:r>
            <w:r w:rsidR="0067413A">
              <w:rPr>
                <w:rFonts w:ascii="Times New Roman" w:eastAsia="Calibri" w:hAnsi="Times New Roman" w:cs="Times New Roman"/>
              </w:rPr>
              <w:t xml:space="preserve"> </w:t>
            </w:r>
            <w:r w:rsidR="00A67154">
              <w:rPr>
                <w:rFonts w:ascii="Times New Roman" w:eastAsia="Calibri" w:hAnsi="Times New Roman" w:cs="Times New Roman"/>
              </w:rPr>
              <w:t>riigisiseses õiguses on vaja sätestada vastav pädevusnorm.</w:t>
            </w:r>
            <w:r w:rsidR="0067413A">
              <w:rPr>
                <w:rFonts w:ascii="Times New Roman" w:eastAsia="Calibri" w:hAnsi="Times New Roman" w:cs="Times New Roman"/>
              </w:rPr>
              <w:t xml:space="preserve"> </w:t>
            </w:r>
            <w:r w:rsidR="00EA0715">
              <w:rPr>
                <w:rFonts w:ascii="Times New Roman" w:eastAsia="Calibri" w:hAnsi="Times New Roman" w:cs="Times New Roman"/>
              </w:rPr>
              <w:t xml:space="preserve">Siinkohal </w:t>
            </w:r>
            <w:r w:rsidR="00146684">
              <w:rPr>
                <w:rFonts w:ascii="Times New Roman" w:eastAsia="Calibri" w:hAnsi="Times New Roman" w:cs="Times New Roman"/>
              </w:rPr>
              <w:t xml:space="preserve">ei saa õigusselguse vaatest selline pädevusnorm olla poolik – </w:t>
            </w:r>
            <w:r w:rsidR="002E70EE">
              <w:rPr>
                <w:rFonts w:ascii="Times New Roman" w:eastAsia="Calibri" w:hAnsi="Times New Roman" w:cs="Times New Roman"/>
              </w:rPr>
              <w:t>kus osa sellest on sätestatud riigisiseses seaduses ja osa on tuletatav otsekohalduvast määrusest</w:t>
            </w:r>
            <w:r w:rsidR="008E7776">
              <w:rPr>
                <w:rFonts w:ascii="Times New Roman" w:eastAsia="Calibri" w:hAnsi="Times New Roman" w:cs="Times New Roman"/>
              </w:rPr>
              <w:t xml:space="preserve">. Konkurentsiameti </w:t>
            </w:r>
            <w:proofErr w:type="spellStart"/>
            <w:r w:rsidR="008E7776">
              <w:rPr>
                <w:rFonts w:ascii="Times New Roman" w:eastAsia="Calibri" w:hAnsi="Times New Roman" w:cs="Times New Roman"/>
              </w:rPr>
              <w:t>ku</w:t>
            </w:r>
            <w:proofErr w:type="spellEnd"/>
            <w:r w:rsidR="008E7776">
              <w:rPr>
                <w:rFonts w:ascii="Times New Roman" w:eastAsia="Calibri" w:hAnsi="Times New Roman" w:cs="Times New Roman"/>
              </w:rPr>
              <w:t xml:space="preserve"> normi adressaadi jaoks peab olema arusaadav, milline pädevus on talle riigi poolt antud ning millised on selle pädevuse piirid (antud juhul komisjoni teavitamise kohustus). Komisjoni teavitamine toimub siinkohal komisjoni poolt</w:t>
            </w:r>
            <w:r w:rsidR="00FA4465">
              <w:rPr>
                <w:rFonts w:ascii="Times New Roman" w:eastAsia="Calibri" w:hAnsi="Times New Roman" w:cs="Times New Roman"/>
              </w:rPr>
              <w:t xml:space="preserve"> selleks</w:t>
            </w:r>
            <w:r w:rsidR="008E7776">
              <w:rPr>
                <w:rFonts w:ascii="Times New Roman" w:eastAsia="Calibri" w:hAnsi="Times New Roman" w:cs="Times New Roman"/>
              </w:rPr>
              <w:t xml:space="preserve"> kehtestatud </w:t>
            </w:r>
            <w:r w:rsidR="00FA4465">
              <w:rPr>
                <w:rFonts w:ascii="Times New Roman" w:eastAsia="Calibri" w:hAnsi="Times New Roman" w:cs="Times New Roman"/>
              </w:rPr>
              <w:t xml:space="preserve">korras ja vormis. </w:t>
            </w:r>
          </w:p>
          <w:p w14:paraId="14194018" w14:textId="77777777" w:rsidR="006E6551" w:rsidRDefault="006E6551" w:rsidP="00FA0F20">
            <w:pPr>
              <w:spacing w:line="276" w:lineRule="auto"/>
              <w:jc w:val="both"/>
              <w:outlineLvl w:val="0"/>
              <w:rPr>
                <w:rFonts w:ascii="Times New Roman" w:eastAsia="Calibri" w:hAnsi="Times New Roman" w:cs="Times New Roman"/>
              </w:rPr>
            </w:pPr>
          </w:p>
          <w:p w14:paraId="0AF30275" w14:textId="77777777" w:rsidR="006E6551" w:rsidRDefault="006E6551" w:rsidP="00FA0F20">
            <w:pPr>
              <w:spacing w:line="276" w:lineRule="auto"/>
              <w:jc w:val="both"/>
              <w:outlineLvl w:val="0"/>
              <w:rPr>
                <w:rFonts w:ascii="Times New Roman" w:eastAsia="Calibri" w:hAnsi="Times New Roman" w:cs="Times New Roman"/>
              </w:rPr>
            </w:pPr>
          </w:p>
          <w:p w14:paraId="70C278BB" w14:textId="1CE1200E" w:rsidR="006E6551" w:rsidRDefault="006E6551" w:rsidP="00FA0F20">
            <w:pPr>
              <w:spacing w:line="276" w:lineRule="auto"/>
              <w:jc w:val="both"/>
              <w:outlineLvl w:val="0"/>
              <w:rPr>
                <w:rFonts w:ascii="Times New Roman" w:eastAsia="Calibri" w:hAnsi="Times New Roman" w:cs="Times New Roman"/>
              </w:rPr>
            </w:pPr>
          </w:p>
        </w:tc>
      </w:tr>
    </w:tbl>
    <w:p w14:paraId="6E8609F5" w14:textId="77777777" w:rsidR="008F5497" w:rsidRPr="008F5497" w:rsidRDefault="008F5497" w:rsidP="008F5497">
      <w:pPr>
        <w:jc w:val="both"/>
        <w:rPr>
          <w:rFonts w:ascii="Times New Roman" w:hAnsi="Times New Roman" w:cs="Times New Roman"/>
          <w:b/>
          <w:color w:val="5B9BD5" w:themeColor="accent1"/>
        </w:rPr>
      </w:pPr>
    </w:p>
    <w:p w14:paraId="600E8583" w14:textId="681532CE" w:rsidR="0069267A" w:rsidRPr="008F5497" w:rsidRDefault="00E74220" w:rsidP="008F5497">
      <w:pPr>
        <w:jc w:val="both"/>
        <w:rPr>
          <w:rFonts w:ascii="Times New Roman" w:hAnsi="Times New Roman" w:cs="Times New Roman"/>
          <w:b/>
          <w:color w:val="5B9BD5" w:themeColor="accent1"/>
        </w:rPr>
      </w:pPr>
      <w:r>
        <w:rPr>
          <w:rFonts w:ascii="Times New Roman" w:hAnsi="Times New Roman" w:cs="Times New Roman"/>
          <w:b/>
          <w:color w:val="5B9BD5" w:themeColor="accent1"/>
        </w:rPr>
        <w:t>2</w:t>
      </w:r>
      <w:r w:rsidR="008F5497">
        <w:rPr>
          <w:rFonts w:ascii="Times New Roman" w:hAnsi="Times New Roman" w:cs="Times New Roman"/>
          <w:b/>
          <w:color w:val="5B9BD5" w:themeColor="accent1"/>
        </w:rPr>
        <w:t xml:space="preserve">. </w:t>
      </w:r>
      <w:r w:rsidR="00B377B8" w:rsidRPr="008F5497">
        <w:rPr>
          <w:rFonts w:ascii="Times New Roman" w:hAnsi="Times New Roman" w:cs="Times New Roman"/>
          <w:b/>
          <w:color w:val="5B9BD5" w:themeColor="accent1"/>
        </w:rPr>
        <w:t xml:space="preserve">Eesti Kaubandus- Tööstuskoda </w:t>
      </w:r>
    </w:p>
    <w:tbl>
      <w:tblPr>
        <w:tblStyle w:val="Kontuurtabel"/>
        <w:tblW w:w="13994" w:type="dxa"/>
        <w:tblLook w:val="04A0" w:firstRow="1" w:lastRow="0" w:firstColumn="1" w:lastColumn="0" w:noHBand="0" w:noVBand="1"/>
      </w:tblPr>
      <w:tblGrid>
        <w:gridCol w:w="675"/>
        <w:gridCol w:w="5428"/>
        <w:gridCol w:w="2280"/>
        <w:gridCol w:w="5611"/>
      </w:tblGrid>
      <w:tr w:rsidR="0069267A" w:rsidRPr="004F72A5" w14:paraId="5194F360" w14:textId="77777777" w:rsidTr="29EAEF5C">
        <w:tc>
          <w:tcPr>
            <w:tcW w:w="675" w:type="dxa"/>
          </w:tcPr>
          <w:p w14:paraId="5E4CDCDC"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428" w:type="dxa"/>
          </w:tcPr>
          <w:p w14:paraId="45C1C7BA"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36180250" w14:textId="36E5F181" w:rsidR="0069267A" w:rsidRPr="004F72A5" w:rsidRDefault="0069267A"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2345A3C9" w:rsidRPr="29EAEF5C">
              <w:rPr>
                <w:rFonts w:ascii="Times New Roman" w:eastAsia="Calibri" w:hAnsi="Times New Roman" w:cs="Times New Roman"/>
                <w:b/>
                <w:bCs/>
              </w:rPr>
              <w:t>-</w:t>
            </w:r>
            <w:r w:rsidRPr="29EAEF5C">
              <w:rPr>
                <w:rFonts w:ascii="Times New Roman" w:eastAsia="Calibri" w:hAnsi="Times New Roman" w:cs="Times New Roman"/>
                <w:b/>
                <w:bCs/>
              </w:rPr>
              <w:t>arvestatud</w:t>
            </w:r>
          </w:p>
        </w:tc>
        <w:tc>
          <w:tcPr>
            <w:tcW w:w="5611" w:type="dxa"/>
          </w:tcPr>
          <w:p w14:paraId="521D8570"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69267A" w:rsidRPr="004F72A5" w14:paraId="030E072D" w14:textId="77777777" w:rsidTr="29EAEF5C">
        <w:tc>
          <w:tcPr>
            <w:tcW w:w="675" w:type="dxa"/>
          </w:tcPr>
          <w:p w14:paraId="5A4993F9"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428" w:type="dxa"/>
          </w:tcPr>
          <w:p w14:paraId="53BE9916" w14:textId="29F13890" w:rsidR="0069267A" w:rsidRPr="004F72A5" w:rsidRDefault="001A20BA" w:rsidP="00590674">
            <w:pPr>
              <w:spacing w:line="276" w:lineRule="auto"/>
              <w:jc w:val="both"/>
              <w:outlineLvl w:val="0"/>
              <w:rPr>
                <w:rFonts w:ascii="Times New Roman" w:eastAsia="Calibri" w:hAnsi="Times New Roman" w:cs="Times New Roman"/>
              </w:rPr>
            </w:pPr>
            <w:r w:rsidRPr="001A20BA">
              <w:rPr>
                <w:rFonts w:ascii="Times New Roman" w:eastAsia="Calibri" w:hAnsi="Times New Roman" w:cs="Times New Roman"/>
              </w:rPr>
              <w:t>Suur tänu, et kaasasite Kaubandus-Tööstuskoda seoses konkurentsiseaduse täiendamise seaduse eelnõuga. Oleme eelnõu sisuga tutvunud, kuid meil ei ole hetkel täiendavaid kommentaare ja ettepanekuid eelnõu kohta.</w:t>
            </w:r>
          </w:p>
        </w:tc>
        <w:tc>
          <w:tcPr>
            <w:tcW w:w="2280" w:type="dxa"/>
          </w:tcPr>
          <w:p w14:paraId="5203D4D5" w14:textId="0279C117" w:rsidR="0069267A" w:rsidRPr="00184AB1" w:rsidRDefault="001A20BA" w:rsidP="00590674">
            <w:pPr>
              <w:spacing w:line="276" w:lineRule="auto"/>
              <w:jc w:val="both"/>
              <w:outlineLvl w:val="0"/>
              <w:rPr>
                <w:rFonts w:ascii="Times New Roman" w:eastAsia="Calibri" w:hAnsi="Times New Roman" w:cs="Times New Roman"/>
                <w:b/>
                <w:bCs/>
              </w:rPr>
            </w:pPr>
            <w:r w:rsidRPr="00184AB1">
              <w:rPr>
                <w:rFonts w:ascii="Times New Roman" w:eastAsia="Calibri" w:hAnsi="Times New Roman" w:cs="Times New Roman"/>
                <w:b/>
                <w:bCs/>
              </w:rPr>
              <w:t>Teadmiseks võetud</w:t>
            </w:r>
          </w:p>
        </w:tc>
        <w:tc>
          <w:tcPr>
            <w:tcW w:w="5611" w:type="dxa"/>
          </w:tcPr>
          <w:p w14:paraId="7808C22C" w14:textId="77777777" w:rsidR="0069267A" w:rsidRPr="004F72A5" w:rsidRDefault="0069267A" w:rsidP="00590674">
            <w:pPr>
              <w:spacing w:line="276" w:lineRule="auto"/>
              <w:jc w:val="both"/>
              <w:outlineLvl w:val="0"/>
              <w:rPr>
                <w:rFonts w:ascii="Times New Roman" w:eastAsia="Calibri" w:hAnsi="Times New Roman" w:cs="Times New Roman"/>
              </w:rPr>
            </w:pPr>
            <w:r w:rsidRPr="004F72A5">
              <w:rPr>
                <w:rFonts w:ascii="Times New Roman" w:hAnsi="Times New Roman" w:cs="Times New Roman"/>
              </w:rPr>
              <w:t xml:space="preserve"> </w:t>
            </w:r>
          </w:p>
        </w:tc>
      </w:tr>
    </w:tbl>
    <w:p w14:paraId="01B389DB" w14:textId="77777777" w:rsidR="00015775" w:rsidRPr="004F72A5" w:rsidRDefault="00015775" w:rsidP="00B119C3">
      <w:pPr>
        <w:jc w:val="both"/>
        <w:rPr>
          <w:rFonts w:ascii="Times New Roman" w:hAnsi="Times New Roman" w:cs="Times New Roman"/>
        </w:rPr>
      </w:pPr>
    </w:p>
    <w:sectPr w:rsidR="00015775" w:rsidRPr="004F72A5" w:rsidSect="00B119C3">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C301" w14:textId="77777777" w:rsidR="009C3CC0" w:rsidRDefault="009C3CC0" w:rsidP="00264BDC">
      <w:pPr>
        <w:spacing w:after="0" w:line="240" w:lineRule="auto"/>
      </w:pPr>
      <w:r>
        <w:separator/>
      </w:r>
    </w:p>
  </w:endnote>
  <w:endnote w:type="continuationSeparator" w:id="0">
    <w:p w14:paraId="1D99EFBC" w14:textId="77777777" w:rsidR="009C3CC0" w:rsidRDefault="009C3CC0" w:rsidP="0026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58650"/>
      <w:docPartObj>
        <w:docPartGallery w:val="Page Numbers (Bottom of Page)"/>
        <w:docPartUnique/>
      </w:docPartObj>
    </w:sdtPr>
    <w:sdtEndPr/>
    <w:sdtContent>
      <w:p w14:paraId="712586A8" w14:textId="19D22567" w:rsidR="001E6CFA" w:rsidRDefault="001E6CFA">
        <w:pPr>
          <w:pStyle w:val="Jalus"/>
          <w:jc w:val="center"/>
        </w:pPr>
        <w:r>
          <w:fldChar w:fldCharType="begin"/>
        </w:r>
        <w:r>
          <w:instrText>PAGE   \* MERGEFORMAT</w:instrText>
        </w:r>
        <w:r>
          <w:fldChar w:fldCharType="separate"/>
        </w:r>
        <w:r>
          <w:t>2</w:t>
        </w:r>
        <w:r>
          <w:fldChar w:fldCharType="end"/>
        </w:r>
      </w:p>
    </w:sdtContent>
  </w:sdt>
  <w:p w14:paraId="50FDCBE3" w14:textId="77777777" w:rsidR="00A30FCB" w:rsidRDefault="00A30FC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BC47" w14:textId="77777777" w:rsidR="009C3CC0" w:rsidRDefault="009C3CC0" w:rsidP="00264BDC">
      <w:pPr>
        <w:spacing w:after="0" w:line="240" w:lineRule="auto"/>
      </w:pPr>
      <w:r>
        <w:separator/>
      </w:r>
    </w:p>
  </w:footnote>
  <w:footnote w:type="continuationSeparator" w:id="0">
    <w:p w14:paraId="75DE5784" w14:textId="77777777" w:rsidR="009C3CC0" w:rsidRDefault="009C3CC0" w:rsidP="0026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D23F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16352F"/>
    <w:multiLevelType w:val="hybridMultilevel"/>
    <w:tmpl w:val="75AAE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65AA1"/>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5F9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0C5D58"/>
    <w:multiLevelType w:val="hybridMultilevel"/>
    <w:tmpl w:val="8916886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AA8066E"/>
    <w:multiLevelType w:val="hybridMultilevel"/>
    <w:tmpl w:val="D082A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355704"/>
    <w:multiLevelType w:val="hybridMultilevel"/>
    <w:tmpl w:val="282A31B0"/>
    <w:lvl w:ilvl="0" w:tplc="BFB64332">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7E272F"/>
    <w:multiLevelType w:val="hybridMultilevel"/>
    <w:tmpl w:val="C854CA88"/>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430ED3"/>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1864A3"/>
    <w:multiLevelType w:val="hybridMultilevel"/>
    <w:tmpl w:val="1FC412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10E3E89"/>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FD0E22"/>
    <w:multiLevelType w:val="multilevel"/>
    <w:tmpl w:val="C3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05075"/>
    <w:multiLevelType w:val="hybridMultilevel"/>
    <w:tmpl w:val="214A6C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7256CA9"/>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7EC7C"/>
    <w:multiLevelType w:val="hybridMultilevel"/>
    <w:tmpl w:val="DCD6DC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CB4BB5"/>
    <w:multiLevelType w:val="hybridMultilevel"/>
    <w:tmpl w:val="3B4A19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2D962E0"/>
    <w:multiLevelType w:val="hybridMultilevel"/>
    <w:tmpl w:val="52AC21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7754FDB"/>
    <w:multiLevelType w:val="hybridMultilevel"/>
    <w:tmpl w:val="B90ED76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3C0F38F3"/>
    <w:multiLevelType w:val="hybridMultilevel"/>
    <w:tmpl w:val="14346A0A"/>
    <w:lvl w:ilvl="0" w:tplc="8D5A19B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204FB7"/>
    <w:multiLevelType w:val="hybridMultilevel"/>
    <w:tmpl w:val="D47EA4B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52B1106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53C43C0F"/>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A601CE"/>
    <w:multiLevelType w:val="hybridMultilevel"/>
    <w:tmpl w:val="7A48A9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BB457BA"/>
    <w:multiLevelType w:val="hybridMultilevel"/>
    <w:tmpl w:val="7FD813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BF16D27"/>
    <w:multiLevelType w:val="hybridMultilevel"/>
    <w:tmpl w:val="A20075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C8B1408"/>
    <w:multiLevelType w:val="hybridMultilevel"/>
    <w:tmpl w:val="675A46DA"/>
    <w:lvl w:ilvl="0" w:tplc="516ABAA8">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D0D0610"/>
    <w:multiLevelType w:val="hybridMultilevel"/>
    <w:tmpl w:val="ABD6D9E4"/>
    <w:lvl w:ilvl="0" w:tplc="98C68BF2">
      <w:start w:val="1"/>
      <w:numFmt w:val="decimal"/>
      <w:lvlText w:val="%1."/>
      <w:lvlJc w:val="left"/>
      <w:pPr>
        <w:ind w:left="730" w:hanging="3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1287A51"/>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4E02A37"/>
    <w:multiLevelType w:val="hybridMultilevel"/>
    <w:tmpl w:val="0D84CB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57C09E4"/>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65AB22CD"/>
    <w:multiLevelType w:val="hybridMultilevel"/>
    <w:tmpl w:val="1D2C6178"/>
    <w:lvl w:ilvl="0" w:tplc="D596675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6B16708D"/>
    <w:multiLevelType w:val="hybridMultilevel"/>
    <w:tmpl w:val="B9F6A3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2" w15:restartNumberingAfterBreak="0">
    <w:nsid w:val="75E1003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79045164"/>
    <w:multiLevelType w:val="hybridMultilevel"/>
    <w:tmpl w:val="0820281C"/>
    <w:lvl w:ilvl="0" w:tplc="4E16275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7BC03BE8"/>
    <w:multiLevelType w:val="multilevel"/>
    <w:tmpl w:val="0B1C7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D121DE"/>
    <w:multiLevelType w:val="multilevel"/>
    <w:tmpl w:val="05D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8F6F4B"/>
    <w:multiLevelType w:val="hybridMultilevel"/>
    <w:tmpl w:val="831896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4604434">
    <w:abstractNumId w:val="27"/>
  </w:num>
  <w:num w:numId="2" w16cid:durableId="1545407949">
    <w:abstractNumId w:val="34"/>
  </w:num>
  <w:num w:numId="3" w16cid:durableId="378554114">
    <w:abstractNumId w:val="35"/>
  </w:num>
  <w:num w:numId="4" w16cid:durableId="1647472920">
    <w:abstractNumId w:val="12"/>
  </w:num>
  <w:num w:numId="5" w16cid:durableId="1177891203">
    <w:abstractNumId w:val="5"/>
  </w:num>
  <w:num w:numId="6" w16cid:durableId="1750343153">
    <w:abstractNumId w:val="33"/>
  </w:num>
  <w:num w:numId="7" w16cid:durableId="1969244046">
    <w:abstractNumId w:val="1"/>
  </w:num>
  <w:num w:numId="8" w16cid:durableId="1927763493">
    <w:abstractNumId w:val="14"/>
  </w:num>
  <w:num w:numId="9" w16cid:durableId="274027166">
    <w:abstractNumId w:val="26"/>
  </w:num>
  <w:num w:numId="10" w16cid:durableId="280579076">
    <w:abstractNumId w:val="17"/>
  </w:num>
  <w:num w:numId="11" w16cid:durableId="824933876">
    <w:abstractNumId w:val="7"/>
  </w:num>
  <w:num w:numId="12" w16cid:durableId="1834637613">
    <w:abstractNumId w:val="28"/>
  </w:num>
  <w:num w:numId="13" w16cid:durableId="1814831317">
    <w:abstractNumId w:val="36"/>
  </w:num>
  <w:num w:numId="14" w16cid:durableId="1002968798">
    <w:abstractNumId w:val="23"/>
  </w:num>
  <w:num w:numId="15" w16cid:durableId="418909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842751">
    <w:abstractNumId w:val="32"/>
  </w:num>
  <w:num w:numId="17" w16cid:durableId="1138835280">
    <w:abstractNumId w:val="29"/>
  </w:num>
  <w:num w:numId="18" w16cid:durableId="988829640">
    <w:abstractNumId w:val="9"/>
  </w:num>
  <w:num w:numId="19" w16cid:durableId="1780367389">
    <w:abstractNumId w:val="24"/>
  </w:num>
  <w:num w:numId="20" w16cid:durableId="428159447">
    <w:abstractNumId w:val="15"/>
  </w:num>
  <w:num w:numId="21" w16cid:durableId="360781989">
    <w:abstractNumId w:val="25"/>
  </w:num>
  <w:num w:numId="22" w16cid:durableId="234898779">
    <w:abstractNumId w:val="6"/>
  </w:num>
  <w:num w:numId="23" w16cid:durableId="609624136">
    <w:abstractNumId w:val="30"/>
  </w:num>
  <w:num w:numId="24" w16cid:durableId="244731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268867">
    <w:abstractNumId w:val="8"/>
  </w:num>
  <w:num w:numId="26" w16cid:durableId="1307008066">
    <w:abstractNumId w:val="22"/>
  </w:num>
  <w:num w:numId="27" w16cid:durableId="1293168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3512583">
    <w:abstractNumId w:val="3"/>
  </w:num>
  <w:num w:numId="29" w16cid:durableId="1802647279">
    <w:abstractNumId w:val="0"/>
  </w:num>
  <w:num w:numId="30" w16cid:durableId="1586842387">
    <w:abstractNumId w:val="10"/>
  </w:num>
  <w:num w:numId="31" w16cid:durableId="927039247">
    <w:abstractNumId w:val="16"/>
  </w:num>
  <w:num w:numId="32" w16cid:durableId="276105638">
    <w:abstractNumId w:val="18"/>
  </w:num>
  <w:num w:numId="33" w16cid:durableId="1454179784">
    <w:abstractNumId w:val="21"/>
  </w:num>
  <w:num w:numId="34" w16cid:durableId="291181067">
    <w:abstractNumId w:val="11"/>
  </w:num>
  <w:num w:numId="35" w16cid:durableId="1855028145">
    <w:abstractNumId w:val="13"/>
  </w:num>
  <w:num w:numId="36" w16cid:durableId="432479510">
    <w:abstractNumId w:val="2"/>
  </w:num>
  <w:num w:numId="37" w16cid:durableId="1944414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52"/>
    <w:rsid w:val="0000054A"/>
    <w:rsid w:val="0000061F"/>
    <w:rsid w:val="00002275"/>
    <w:rsid w:val="00002842"/>
    <w:rsid w:val="000131D5"/>
    <w:rsid w:val="0001388A"/>
    <w:rsid w:val="0001448B"/>
    <w:rsid w:val="00015775"/>
    <w:rsid w:val="00015B05"/>
    <w:rsid w:val="00016035"/>
    <w:rsid w:val="00016C22"/>
    <w:rsid w:val="00016EE9"/>
    <w:rsid w:val="00016F46"/>
    <w:rsid w:val="00017155"/>
    <w:rsid w:val="00017462"/>
    <w:rsid w:val="00021ACF"/>
    <w:rsid w:val="000246B2"/>
    <w:rsid w:val="0002714D"/>
    <w:rsid w:val="000367BC"/>
    <w:rsid w:val="000402D1"/>
    <w:rsid w:val="0004057E"/>
    <w:rsid w:val="00040A9D"/>
    <w:rsid w:val="000416CA"/>
    <w:rsid w:val="00042969"/>
    <w:rsid w:val="00042ACC"/>
    <w:rsid w:val="00044662"/>
    <w:rsid w:val="0004472D"/>
    <w:rsid w:val="0004488D"/>
    <w:rsid w:val="00050251"/>
    <w:rsid w:val="000513CB"/>
    <w:rsid w:val="000544C9"/>
    <w:rsid w:val="00060D45"/>
    <w:rsid w:val="0006105C"/>
    <w:rsid w:val="000647C3"/>
    <w:rsid w:val="00064AB6"/>
    <w:rsid w:val="00065436"/>
    <w:rsid w:val="00070386"/>
    <w:rsid w:val="000719DE"/>
    <w:rsid w:val="00073B5C"/>
    <w:rsid w:val="00076DAB"/>
    <w:rsid w:val="00076F49"/>
    <w:rsid w:val="000773C4"/>
    <w:rsid w:val="000803DA"/>
    <w:rsid w:val="00082D5B"/>
    <w:rsid w:val="00082E24"/>
    <w:rsid w:val="000847BA"/>
    <w:rsid w:val="00085719"/>
    <w:rsid w:val="0008640A"/>
    <w:rsid w:val="00087E7D"/>
    <w:rsid w:val="000920B7"/>
    <w:rsid w:val="000963FF"/>
    <w:rsid w:val="000A0D08"/>
    <w:rsid w:val="000A13C2"/>
    <w:rsid w:val="000A1767"/>
    <w:rsid w:val="000A1B63"/>
    <w:rsid w:val="000A1C06"/>
    <w:rsid w:val="000A4E80"/>
    <w:rsid w:val="000A79BC"/>
    <w:rsid w:val="000B1838"/>
    <w:rsid w:val="000B5E79"/>
    <w:rsid w:val="000C2DFD"/>
    <w:rsid w:val="000C5116"/>
    <w:rsid w:val="000D2009"/>
    <w:rsid w:val="000D4FAF"/>
    <w:rsid w:val="000D62FC"/>
    <w:rsid w:val="000E0E9D"/>
    <w:rsid w:val="000E2460"/>
    <w:rsid w:val="000E499B"/>
    <w:rsid w:val="000E7478"/>
    <w:rsid w:val="000F1A7E"/>
    <w:rsid w:val="000F4F80"/>
    <w:rsid w:val="000F662B"/>
    <w:rsid w:val="000F7431"/>
    <w:rsid w:val="00101141"/>
    <w:rsid w:val="0010191D"/>
    <w:rsid w:val="00102296"/>
    <w:rsid w:val="00102492"/>
    <w:rsid w:val="00102674"/>
    <w:rsid w:val="00103318"/>
    <w:rsid w:val="00103B9C"/>
    <w:rsid w:val="00103D7A"/>
    <w:rsid w:val="0010468D"/>
    <w:rsid w:val="001065E5"/>
    <w:rsid w:val="00107DB4"/>
    <w:rsid w:val="00112398"/>
    <w:rsid w:val="00112B23"/>
    <w:rsid w:val="00114496"/>
    <w:rsid w:val="001200AD"/>
    <w:rsid w:val="001224D6"/>
    <w:rsid w:val="001226B3"/>
    <w:rsid w:val="00125A30"/>
    <w:rsid w:val="00126109"/>
    <w:rsid w:val="00127356"/>
    <w:rsid w:val="00127550"/>
    <w:rsid w:val="001315D5"/>
    <w:rsid w:val="001316EC"/>
    <w:rsid w:val="00131D67"/>
    <w:rsid w:val="0013387C"/>
    <w:rsid w:val="00133B12"/>
    <w:rsid w:val="00134501"/>
    <w:rsid w:val="001377F6"/>
    <w:rsid w:val="00140F31"/>
    <w:rsid w:val="0014500B"/>
    <w:rsid w:val="001452B9"/>
    <w:rsid w:val="00145597"/>
    <w:rsid w:val="00146069"/>
    <w:rsid w:val="00146684"/>
    <w:rsid w:val="001474AE"/>
    <w:rsid w:val="0015316B"/>
    <w:rsid w:val="00153DD4"/>
    <w:rsid w:val="001546AF"/>
    <w:rsid w:val="00155CFE"/>
    <w:rsid w:val="00156913"/>
    <w:rsid w:val="00157232"/>
    <w:rsid w:val="001600DE"/>
    <w:rsid w:val="001605E1"/>
    <w:rsid w:val="00161E23"/>
    <w:rsid w:val="001648BC"/>
    <w:rsid w:val="00164B29"/>
    <w:rsid w:val="0016609D"/>
    <w:rsid w:val="00166AA9"/>
    <w:rsid w:val="0017090E"/>
    <w:rsid w:val="00171401"/>
    <w:rsid w:val="001725D4"/>
    <w:rsid w:val="001742FA"/>
    <w:rsid w:val="00174E36"/>
    <w:rsid w:val="00175951"/>
    <w:rsid w:val="001759E1"/>
    <w:rsid w:val="0018138E"/>
    <w:rsid w:val="00182BAA"/>
    <w:rsid w:val="00182E7E"/>
    <w:rsid w:val="00183978"/>
    <w:rsid w:val="00184AB1"/>
    <w:rsid w:val="001850F0"/>
    <w:rsid w:val="00186977"/>
    <w:rsid w:val="00187589"/>
    <w:rsid w:val="00190F1B"/>
    <w:rsid w:val="00191787"/>
    <w:rsid w:val="001920F9"/>
    <w:rsid w:val="00197511"/>
    <w:rsid w:val="001A05F0"/>
    <w:rsid w:val="001A0B4E"/>
    <w:rsid w:val="001A0B77"/>
    <w:rsid w:val="001A20BA"/>
    <w:rsid w:val="001A2506"/>
    <w:rsid w:val="001A2516"/>
    <w:rsid w:val="001A6A6D"/>
    <w:rsid w:val="001B07FD"/>
    <w:rsid w:val="001B39A5"/>
    <w:rsid w:val="001B4B4B"/>
    <w:rsid w:val="001B4E3D"/>
    <w:rsid w:val="001B5023"/>
    <w:rsid w:val="001B5ACD"/>
    <w:rsid w:val="001B6AA9"/>
    <w:rsid w:val="001B6E60"/>
    <w:rsid w:val="001B78BA"/>
    <w:rsid w:val="001C1179"/>
    <w:rsid w:val="001C2C98"/>
    <w:rsid w:val="001C4767"/>
    <w:rsid w:val="001C6B5A"/>
    <w:rsid w:val="001D3D1C"/>
    <w:rsid w:val="001D3EF6"/>
    <w:rsid w:val="001D573A"/>
    <w:rsid w:val="001D6CF3"/>
    <w:rsid w:val="001D7AF8"/>
    <w:rsid w:val="001E0743"/>
    <w:rsid w:val="001E0E61"/>
    <w:rsid w:val="001E1B13"/>
    <w:rsid w:val="001E4747"/>
    <w:rsid w:val="001E4D06"/>
    <w:rsid w:val="001E58D4"/>
    <w:rsid w:val="001E6CFA"/>
    <w:rsid w:val="001E70D0"/>
    <w:rsid w:val="001E7932"/>
    <w:rsid w:val="001F53E3"/>
    <w:rsid w:val="001F6603"/>
    <w:rsid w:val="001F699E"/>
    <w:rsid w:val="001F7B01"/>
    <w:rsid w:val="002014CB"/>
    <w:rsid w:val="00201F6F"/>
    <w:rsid w:val="002049CC"/>
    <w:rsid w:val="002063E2"/>
    <w:rsid w:val="0021076E"/>
    <w:rsid w:val="002107E0"/>
    <w:rsid w:val="0021142C"/>
    <w:rsid w:val="00212154"/>
    <w:rsid w:val="00212749"/>
    <w:rsid w:val="00212E28"/>
    <w:rsid w:val="002133BC"/>
    <w:rsid w:val="00215D38"/>
    <w:rsid w:val="00220C73"/>
    <w:rsid w:val="00220EE5"/>
    <w:rsid w:val="002217BB"/>
    <w:rsid w:val="002217BF"/>
    <w:rsid w:val="00221EA7"/>
    <w:rsid w:val="0022430F"/>
    <w:rsid w:val="00227BD2"/>
    <w:rsid w:val="00232436"/>
    <w:rsid w:val="002327A0"/>
    <w:rsid w:val="00234708"/>
    <w:rsid w:val="00234B48"/>
    <w:rsid w:val="00235E74"/>
    <w:rsid w:val="00236E6F"/>
    <w:rsid w:val="0023770F"/>
    <w:rsid w:val="00241E13"/>
    <w:rsid w:val="00241E62"/>
    <w:rsid w:val="00243321"/>
    <w:rsid w:val="002434CA"/>
    <w:rsid w:val="00244467"/>
    <w:rsid w:val="00244C4D"/>
    <w:rsid w:val="00244C6B"/>
    <w:rsid w:val="002459B5"/>
    <w:rsid w:val="00251F41"/>
    <w:rsid w:val="00255DE8"/>
    <w:rsid w:val="00256450"/>
    <w:rsid w:val="002600A2"/>
    <w:rsid w:val="0026016A"/>
    <w:rsid w:val="00263065"/>
    <w:rsid w:val="00264790"/>
    <w:rsid w:val="00264BDC"/>
    <w:rsid w:val="00266B17"/>
    <w:rsid w:val="00266F6B"/>
    <w:rsid w:val="0027048B"/>
    <w:rsid w:val="002708A9"/>
    <w:rsid w:val="00270CD6"/>
    <w:rsid w:val="00271D37"/>
    <w:rsid w:val="00280003"/>
    <w:rsid w:val="00281C7B"/>
    <w:rsid w:val="00283215"/>
    <w:rsid w:val="00283ABC"/>
    <w:rsid w:val="002876DF"/>
    <w:rsid w:val="00290403"/>
    <w:rsid w:val="002919BA"/>
    <w:rsid w:val="00293E3F"/>
    <w:rsid w:val="002944E5"/>
    <w:rsid w:val="00295409"/>
    <w:rsid w:val="0029635E"/>
    <w:rsid w:val="00296BEB"/>
    <w:rsid w:val="0029731E"/>
    <w:rsid w:val="002975C3"/>
    <w:rsid w:val="002978F6"/>
    <w:rsid w:val="002A22BF"/>
    <w:rsid w:val="002A3D17"/>
    <w:rsid w:val="002A4D52"/>
    <w:rsid w:val="002A577D"/>
    <w:rsid w:val="002B0EB7"/>
    <w:rsid w:val="002B1041"/>
    <w:rsid w:val="002B119C"/>
    <w:rsid w:val="002B1415"/>
    <w:rsid w:val="002B5E8A"/>
    <w:rsid w:val="002B649A"/>
    <w:rsid w:val="002B6BEF"/>
    <w:rsid w:val="002B75E2"/>
    <w:rsid w:val="002C131B"/>
    <w:rsid w:val="002C2120"/>
    <w:rsid w:val="002C2300"/>
    <w:rsid w:val="002C51FE"/>
    <w:rsid w:val="002C7FB0"/>
    <w:rsid w:val="002D1B72"/>
    <w:rsid w:val="002D4320"/>
    <w:rsid w:val="002D6351"/>
    <w:rsid w:val="002D7967"/>
    <w:rsid w:val="002D7979"/>
    <w:rsid w:val="002E18F5"/>
    <w:rsid w:val="002E33AF"/>
    <w:rsid w:val="002E3FEA"/>
    <w:rsid w:val="002E70EE"/>
    <w:rsid w:val="002E753F"/>
    <w:rsid w:val="002F0612"/>
    <w:rsid w:val="002F4E7C"/>
    <w:rsid w:val="002F5C4C"/>
    <w:rsid w:val="002F7CCC"/>
    <w:rsid w:val="00300C41"/>
    <w:rsid w:val="00301736"/>
    <w:rsid w:val="0030339B"/>
    <w:rsid w:val="003043F6"/>
    <w:rsid w:val="00304D81"/>
    <w:rsid w:val="003051D9"/>
    <w:rsid w:val="003059DA"/>
    <w:rsid w:val="00310963"/>
    <w:rsid w:val="003112B4"/>
    <w:rsid w:val="00316E49"/>
    <w:rsid w:val="00317002"/>
    <w:rsid w:val="00317F64"/>
    <w:rsid w:val="0032123F"/>
    <w:rsid w:val="00322911"/>
    <w:rsid w:val="003239BC"/>
    <w:rsid w:val="00331563"/>
    <w:rsid w:val="00331741"/>
    <w:rsid w:val="00331B0B"/>
    <w:rsid w:val="00333486"/>
    <w:rsid w:val="00333830"/>
    <w:rsid w:val="00334619"/>
    <w:rsid w:val="003437D0"/>
    <w:rsid w:val="00344888"/>
    <w:rsid w:val="003533E0"/>
    <w:rsid w:val="00354031"/>
    <w:rsid w:val="00354A93"/>
    <w:rsid w:val="003561F6"/>
    <w:rsid w:val="00356712"/>
    <w:rsid w:val="00360079"/>
    <w:rsid w:val="00361D98"/>
    <w:rsid w:val="00362E77"/>
    <w:rsid w:val="00364534"/>
    <w:rsid w:val="0036681B"/>
    <w:rsid w:val="00371605"/>
    <w:rsid w:val="00371807"/>
    <w:rsid w:val="003729C7"/>
    <w:rsid w:val="00373525"/>
    <w:rsid w:val="00373FEF"/>
    <w:rsid w:val="00376A76"/>
    <w:rsid w:val="00376BA3"/>
    <w:rsid w:val="00380C40"/>
    <w:rsid w:val="003838E8"/>
    <w:rsid w:val="00383AE7"/>
    <w:rsid w:val="00384398"/>
    <w:rsid w:val="00384FBA"/>
    <w:rsid w:val="003855AC"/>
    <w:rsid w:val="00392044"/>
    <w:rsid w:val="00392B2F"/>
    <w:rsid w:val="00395B90"/>
    <w:rsid w:val="00395BD5"/>
    <w:rsid w:val="003A2033"/>
    <w:rsid w:val="003A2677"/>
    <w:rsid w:val="003A3271"/>
    <w:rsid w:val="003A3A51"/>
    <w:rsid w:val="003A3A6C"/>
    <w:rsid w:val="003A3FB2"/>
    <w:rsid w:val="003A46BC"/>
    <w:rsid w:val="003A5459"/>
    <w:rsid w:val="003B30D1"/>
    <w:rsid w:val="003B312C"/>
    <w:rsid w:val="003B43CE"/>
    <w:rsid w:val="003C0CD9"/>
    <w:rsid w:val="003C1B92"/>
    <w:rsid w:val="003C611F"/>
    <w:rsid w:val="003C794A"/>
    <w:rsid w:val="003C7BFE"/>
    <w:rsid w:val="003D2213"/>
    <w:rsid w:val="003D2FB2"/>
    <w:rsid w:val="003D52ED"/>
    <w:rsid w:val="003D64B3"/>
    <w:rsid w:val="003D7ABF"/>
    <w:rsid w:val="003E06FD"/>
    <w:rsid w:val="003E143C"/>
    <w:rsid w:val="003E4727"/>
    <w:rsid w:val="003E4830"/>
    <w:rsid w:val="003E529B"/>
    <w:rsid w:val="003E6147"/>
    <w:rsid w:val="003E706D"/>
    <w:rsid w:val="003F00F2"/>
    <w:rsid w:val="003F27B9"/>
    <w:rsid w:val="003F3156"/>
    <w:rsid w:val="003F3930"/>
    <w:rsid w:val="003F3AB4"/>
    <w:rsid w:val="003F4830"/>
    <w:rsid w:val="003F4AEF"/>
    <w:rsid w:val="003F5A12"/>
    <w:rsid w:val="003F6F9D"/>
    <w:rsid w:val="004023DB"/>
    <w:rsid w:val="00404CAF"/>
    <w:rsid w:val="00405177"/>
    <w:rsid w:val="00407453"/>
    <w:rsid w:val="00407A74"/>
    <w:rsid w:val="00416E8B"/>
    <w:rsid w:val="00422059"/>
    <w:rsid w:val="0042245A"/>
    <w:rsid w:val="00425FB3"/>
    <w:rsid w:val="0042714E"/>
    <w:rsid w:val="00427576"/>
    <w:rsid w:val="00427730"/>
    <w:rsid w:val="00427EEA"/>
    <w:rsid w:val="00433A38"/>
    <w:rsid w:val="00436974"/>
    <w:rsid w:val="00436FA5"/>
    <w:rsid w:val="0043736D"/>
    <w:rsid w:val="00442330"/>
    <w:rsid w:val="00442BFA"/>
    <w:rsid w:val="004436C3"/>
    <w:rsid w:val="00443747"/>
    <w:rsid w:val="0044374B"/>
    <w:rsid w:val="00443F79"/>
    <w:rsid w:val="004479C8"/>
    <w:rsid w:val="00447E3A"/>
    <w:rsid w:val="00451629"/>
    <w:rsid w:val="00451EFA"/>
    <w:rsid w:val="004540A5"/>
    <w:rsid w:val="004553C7"/>
    <w:rsid w:val="00461BD9"/>
    <w:rsid w:val="00464080"/>
    <w:rsid w:val="00464175"/>
    <w:rsid w:val="004659F4"/>
    <w:rsid w:val="00465CF2"/>
    <w:rsid w:val="004706EA"/>
    <w:rsid w:val="0047107E"/>
    <w:rsid w:val="004809B9"/>
    <w:rsid w:val="00483624"/>
    <w:rsid w:val="00484857"/>
    <w:rsid w:val="00486635"/>
    <w:rsid w:val="00490121"/>
    <w:rsid w:val="00490474"/>
    <w:rsid w:val="00490938"/>
    <w:rsid w:val="00494C67"/>
    <w:rsid w:val="004951BA"/>
    <w:rsid w:val="004955BA"/>
    <w:rsid w:val="0049605B"/>
    <w:rsid w:val="00496669"/>
    <w:rsid w:val="0049715E"/>
    <w:rsid w:val="00497B19"/>
    <w:rsid w:val="00497D64"/>
    <w:rsid w:val="004A1044"/>
    <w:rsid w:val="004A1767"/>
    <w:rsid w:val="004A199E"/>
    <w:rsid w:val="004A54BB"/>
    <w:rsid w:val="004A5679"/>
    <w:rsid w:val="004B0727"/>
    <w:rsid w:val="004B2626"/>
    <w:rsid w:val="004C1BA4"/>
    <w:rsid w:val="004C1C22"/>
    <w:rsid w:val="004C2631"/>
    <w:rsid w:val="004C4470"/>
    <w:rsid w:val="004C65FD"/>
    <w:rsid w:val="004C6A4A"/>
    <w:rsid w:val="004C6F06"/>
    <w:rsid w:val="004C76D8"/>
    <w:rsid w:val="004D4375"/>
    <w:rsid w:val="004E2EE9"/>
    <w:rsid w:val="004E45B0"/>
    <w:rsid w:val="004F1970"/>
    <w:rsid w:val="004F2167"/>
    <w:rsid w:val="004F69BE"/>
    <w:rsid w:val="004F6FD8"/>
    <w:rsid w:val="004F72A5"/>
    <w:rsid w:val="00500E3B"/>
    <w:rsid w:val="00500FEA"/>
    <w:rsid w:val="00503F16"/>
    <w:rsid w:val="00504B88"/>
    <w:rsid w:val="005057E6"/>
    <w:rsid w:val="005060EF"/>
    <w:rsid w:val="00511B0B"/>
    <w:rsid w:val="005141DF"/>
    <w:rsid w:val="005146C7"/>
    <w:rsid w:val="00515A39"/>
    <w:rsid w:val="00515CA5"/>
    <w:rsid w:val="00516F51"/>
    <w:rsid w:val="00517C4B"/>
    <w:rsid w:val="00517EFF"/>
    <w:rsid w:val="00520D1D"/>
    <w:rsid w:val="00522B2D"/>
    <w:rsid w:val="00523474"/>
    <w:rsid w:val="005245F2"/>
    <w:rsid w:val="00526F73"/>
    <w:rsid w:val="00527309"/>
    <w:rsid w:val="005307A1"/>
    <w:rsid w:val="0053174E"/>
    <w:rsid w:val="00531D95"/>
    <w:rsid w:val="00531D9B"/>
    <w:rsid w:val="00531FC4"/>
    <w:rsid w:val="00534C16"/>
    <w:rsid w:val="005354D7"/>
    <w:rsid w:val="005356B3"/>
    <w:rsid w:val="0054043A"/>
    <w:rsid w:val="00542E77"/>
    <w:rsid w:val="005433B0"/>
    <w:rsid w:val="00544835"/>
    <w:rsid w:val="005479D7"/>
    <w:rsid w:val="00551F90"/>
    <w:rsid w:val="00553A80"/>
    <w:rsid w:val="0055633E"/>
    <w:rsid w:val="00557EDA"/>
    <w:rsid w:val="005633B8"/>
    <w:rsid w:val="005655C6"/>
    <w:rsid w:val="00567860"/>
    <w:rsid w:val="005679AB"/>
    <w:rsid w:val="00570CBC"/>
    <w:rsid w:val="00571F1A"/>
    <w:rsid w:val="00572E5B"/>
    <w:rsid w:val="00573933"/>
    <w:rsid w:val="005752D8"/>
    <w:rsid w:val="005815C6"/>
    <w:rsid w:val="0059434E"/>
    <w:rsid w:val="005A0752"/>
    <w:rsid w:val="005A4CAE"/>
    <w:rsid w:val="005A4CB8"/>
    <w:rsid w:val="005A54A3"/>
    <w:rsid w:val="005A610C"/>
    <w:rsid w:val="005A69D9"/>
    <w:rsid w:val="005B2A8D"/>
    <w:rsid w:val="005B33DE"/>
    <w:rsid w:val="005B38ED"/>
    <w:rsid w:val="005B65AD"/>
    <w:rsid w:val="005B7241"/>
    <w:rsid w:val="005B76E7"/>
    <w:rsid w:val="005B79D5"/>
    <w:rsid w:val="005C12FF"/>
    <w:rsid w:val="005C1F77"/>
    <w:rsid w:val="005C3147"/>
    <w:rsid w:val="005C5E41"/>
    <w:rsid w:val="005C67E2"/>
    <w:rsid w:val="005C7A3E"/>
    <w:rsid w:val="005D4934"/>
    <w:rsid w:val="005D5B4A"/>
    <w:rsid w:val="005E0358"/>
    <w:rsid w:val="005E22BB"/>
    <w:rsid w:val="005E43A0"/>
    <w:rsid w:val="005E4DF2"/>
    <w:rsid w:val="005E5849"/>
    <w:rsid w:val="005F1BDE"/>
    <w:rsid w:val="005F27E5"/>
    <w:rsid w:val="005F4906"/>
    <w:rsid w:val="005F4B19"/>
    <w:rsid w:val="005F4B35"/>
    <w:rsid w:val="005F55B6"/>
    <w:rsid w:val="00600A56"/>
    <w:rsid w:val="00606BAD"/>
    <w:rsid w:val="00612CF6"/>
    <w:rsid w:val="0061389C"/>
    <w:rsid w:val="0061497B"/>
    <w:rsid w:val="006210C1"/>
    <w:rsid w:val="006214A6"/>
    <w:rsid w:val="00621F19"/>
    <w:rsid w:val="00623C18"/>
    <w:rsid w:val="006241CF"/>
    <w:rsid w:val="0062425B"/>
    <w:rsid w:val="00625EFD"/>
    <w:rsid w:val="0062600F"/>
    <w:rsid w:val="00627E3C"/>
    <w:rsid w:val="00631784"/>
    <w:rsid w:val="00634D13"/>
    <w:rsid w:val="00637BF8"/>
    <w:rsid w:val="006412DC"/>
    <w:rsid w:val="00641BD3"/>
    <w:rsid w:val="006439CA"/>
    <w:rsid w:val="00644D4A"/>
    <w:rsid w:val="00645574"/>
    <w:rsid w:val="00645950"/>
    <w:rsid w:val="00650312"/>
    <w:rsid w:val="00650ABB"/>
    <w:rsid w:val="006514EB"/>
    <w:rsid w:val="00652483"/>
    <w:rsid w:val="0065359F"/>
    <w:rsid w:val="006549B4"/>
    <w:rsid w:val="00656E2D"/>
    <w:rsid w:val="00661748"/>
    <w:rsid w:val="00662153"/>
    <w:rsid w:val="006634C7"/>
    <w:rsid w:val="00664964"/>
    <w:rsid w:val="00665137"/>
    <w:rsid w:val="00666AA8"/>
    <w:rsid w:val="0066748C"/>
    <w:rsid w:val="00667713"/>
    <w:rsid w:val="0067051A"/>
    <w:rsid w:val="0067413A"/>
    <w:rsid w:val="00681DD5"/>
    <w:rsid w:val="00685391"/>
    <w:rsid w:val="00686170"/>
    <w:rsid w:val="006862B1"/>
    <w:rsid w:val="006867EE"/>
    <w:rsid w:val="006906B3"/>
    <w:rsid w:val="006921B7"/>
    <w:rsid w:val="0069267A"/>
    <w:rsid w:val="00693787"/>
    <w:rsid w:val="006A154D"/>
    <w:rsid w:val="006A1724"/>
    <w:rsid w:val="006A4274"/>
    <w:rsid w:val="006A7651"/>
    <w:rsid w:val="006B0464"/>
    <w:rsid w:val="006B2070"/>
    <w:rsid w:val="006B255A"/>
    <w:rsid w:val="006B41F2"/>
    <w:rsid w:val="006B7257"/>
    <w:rsid w:val="006C0BA7"/>
    <w:rsid w:val="006C25F9"/>
    <w:rsid w:val="006C3E01"/>
    <w:rsid w:val="006C75A5"/>
    <w:rsid w:val="006D23A6"/>
    <w:rsid w:val="006D4B06"/>
    <w:rsid w:val="006D5C61"/>
    <w:rsid w:val="006D6BEC"/>
    <w:rsid w:val="006E13F0"/>
    <w:rsid w:val="006E1C11"/>
    <w:rsid w:val="006E6551"/>
    <w:rsid w:val="006E7446"/>
    <w:rsid w:val="006F2738"/>
    <w:rsid w:val="006F5969"/>
    <w:rsid w:val="006F6B24"/>
    <w:rsid w:val="006F76C8"/>
    <w:rsid w:val="006F7963"/>
    <w:rsid w:val="006F7D0E"/>
    <w:rsid w:val="00700CCC"/>
    <w:rsid w:val="00701665"/>
    <w:rsid w:val="00703CE5"/>
    <w:rsid w:val="00703E8D"/>
    <w:rsid w:val="00704BC6"/>
    <w:rsid w:val="00704CE8"/>
    <w:rsid w:val="00704E54"/>
    <w:rsid w:val="00705071"/>
    <w:rsid w:val="0070577B"/>
    <w:rsid w:val="00707948"/>
    <w:rsid w:val="00707D23"/>
    <w:rsid w:val="00712E3A"/>
    <w:rsid w:val="00713D2E"/>
    <w:rsid w:val="007146B1"/>
    <w:rsid w:val="00715EFC"/>
    <w:rsid w:val="007160FF"/>
    <w:rsid w:val="0072116E"/>
    <w:rsid w:val="007221E4"/>
    <w:rsid w:val="00722C40"/>
    <w:rsid w:val="00723052"/>
    <w:rsid w:val="00724332"/>
    <w:rsid w:val="007245DD"/>
    <w:rsid w:val="007247D2"/>
    <w:rsid w:val="00726013"/>
    <w:rsid w:val="00726256"/>
    <w:rsid w:val="00727ADA"/>
    <w:rsid w:val="00727E45"/>
    <w:rsid w:val="00727F0D"/>
    <w:rsid w:val="007302C2"/>
    <w:rsid w:val="00730963"/>
    <w:rsid w:val="00730B37"/>
    <w:rsid w:val="00732E51"/>
    <w:rsid w:val="00734222"/>
    <w:rsid w:val="0073666A"/>
    <w:rsid w:val="00736EAA"/>
    <w:rsid w:val="00737335"/>
    <w:rsid w:val="0074008B"/>
    <w:rsid w:val="00741F93"/>
    <w:rsid w:val="007433B9"/>
    <w:rsid w:val="00745B84"/>
    <w:rsid w:val="0074751D"/>
    <w:rsid w:val="00747773"/>
    <w:rsid w:val="00747DBE"/>
    <w:rsid w:val="007548FA"/>
    <w:rsid w:val="00756F06"/>
    <w:rsid w:val="00762077"/>
    <w:rsid w:val="00762318"/>
    <w:rsid w:val="007630F3"/>
    <w:rsid w:val="00765467"/>
    <w:rsid w:val="00765495"/>
    <w:rsid w:val="00766A93"/>
    <w:rsid w:val="00766DD5"/>
    <w:rsid w:val="00770212"/>
    <w:rsid w:val="00774F4F"/>
    <w:rsid w:val="00776BCE"/>
    <w:rsid w:val="00777FD2"/>
    <w:rsid w:val="0078098E"/>
    <w:rsid w:val="00780B7F"/>
    <w:rsid w:val="00781B9A"/>
    <w:rsid w:val="007829B1"/>
    <w:rsid w:val="00783D14"/>
    <w:rsid w:val="00786080"/>
    <w:rsid w:val="00790814"/>
    <w:rsid w:val="007929AF"/>
    <w:rsid w:val="00792AC6"/>
    <w:rsid w:val="00796F1C"/>
    <w:rsid w:val="007A4340"/>
    <w:rsid w:val="007A5D0A"/>
    <w:rsid w:val="007A6759"/>
    <w:rsid w:val="007B14B8"/>
    <w:rsid w:val="007B7A80"/>
    <w:rsid w:val="007C119B"/>
    <w:rsid w:val="007C26DF"/>
    <w:rsid w:val="007C2E50"/>
    <w:rsid w:val="007C3933"/>
    <w:rsid w:val="007C3ED8"/>
    <w:rsid w:val="007D2E7C"/>
    <w:rsid w:val="007D4DFB"/>
    <w:rsid w:val="007E04F8"/>
    <w:rsid w:val="007E3497"/>
    <w:rsid w:val="007E4CD0"/>
    <w:rsid w:val="007E4E94"/>
    <w:rsid w:val="007E510B"/>
    <w:rsid w:val="007E590F"/>
    <w:rsid w:val="007E59D4"/>
    <w:rsid w:val="007E6228"/>
    <w:rsid w:val="007E6642"/>
    <w:rsid w:val="007E7D3B"/>
    <w:rsid w:val="007F0672"/>
    <w:rsid w:val="007F1B54"/>
    <w:rsid w:val="007F5361"/>
    <w:rsid w:val="007F5593"/>
    <w:rsid w:val="007F69DA"/>
    <w:rsid w:val="007F6BBC"/>
    <w:rsid w:val="008015C0"/>
    <w:rsid w:val="00804A3C"/>
    <w:rsid w:val="00811F8D"/>
    <w:rsid w:val="008125FC"/>
    <w:rsid w:val="008129F4"/>
    <w:rsid w:val="00812A70"/>
    <w:rsid w:val="00814C28"/>
    <w:rsid w:val="00822386"/>
    <w:rsid w:val="00822E5F"/>
    <w:rsid w:val="00822E82"/>
    <w:rsid w:val="00822EB5"/>
    <w:rsid w:val="00827642"/>
    <w:rsid w:val="00827FB0"/>
    <w:rsid w:val="0083029D"/>
    <w:rsid w:val="008302A9"/>
    <w:rsid w:val="00834D5F"/>
    <w:rsid w:val="00835F5A"/>
    <w:rsid w:val="00836EAE"/>
    <w:rsid w:val="008405BE"/>
    <w:rsid w:val="00843F61"/>
    <w:rsid w:val="00845479"/>
    <w:rsid w:val="0084587B"/>
    <w:rsid w:val="00845DF8"/>
    <w:rsid w:val="00847F52"/>
    <w:rsid w:val="008500D9"/>
    <w:rsid w:val="008526E7"/>
    <w:rsid w:val="00852986"/>
    <w:rsid w:val="008539C0"/>
    <w:rsid w:val="00854945"/>
    <w:rsid w:val="0085590C"/>
    <w:rsid w:val="0086278D"/>
    <w:rsid w:val="00862C9C"/>
    <w:rsid w:val="008677AB"/>
    <w:rsid w:val="00867BC2"/>
    <w:rsid w:val="0087096C"/>
    <w:rsid w:val="008712F5"/>
    <w:rsid w:val="008733A3"/>
    <w:rsid w:val="00881D19"/>
    <w:rsid w:val="0088288C"/>
    <w:rsid w:val="008842B5"/>
    <w:rsid w:val="0088510F"/>
    <w:rsid w:val="00886A31"/>
    <w:rsid w:val="00893179"/>
    <w:rsid w:val="00893E8E"/>
    <w:rsid w:val="00893F15"/>
    <w:rsid w:val="00894342"/>
    <w:rsid w:val="00894ECC"/>
    <w:rsid w:val="00895A9D"/>
    <w:rsid w:val="008966A1"/>
    <w:rsid w:val="008A1DED"/>
    <w:rsid w:val="008A22A4"/>
    <w:rsid w:val="008A3055"/>
    <w:rsid w:val="008A637C"/>
    <w:rsid w:val="008A63A1"/>
    <w:rsid w:val="008A6750"/>
    <w:rsid w:val="008A67BF"/>
    <w:rsid w:val="008A67D2"/>
    <w:rsid w:val="008B15AF"/>
    <w:rsid w:val="008B226E"/>
    <w:rsid w:val="008B34AE"/>
    <w:rsid w:val="008B49AE"/>
    <w:rsid w:val="008B5094"/>
    <w:rsid w:val="008C0C7D"/>
    <w:rsid w:val="008C0DDF"/>
    <w:rsid w:val="008C1367"/>
    <w:rsid w:val="008C2065"/>
    <w:rsid w:val="008C26DA"/>
    <w:rsid w:val="008C656E"/>
    <w:rsid w:val="008C6E38"/>
    <w:rsid w:val="008C7882"/>
    <w:rsid w:val="008C7B6D"/>
    <w:rsid w:val="008D1BE6"/>
    <w:rsid w:val="008D2B34"/>
    <w:rsid w:val="008D365E"/>
    <w:rsid w:val="008D5CD4"/>
    <w:rsid w:val="008E00CF"/>
    <w:rsid w:val="008E26E5"/>
    <w:rsid w:val="008E4354"/>
    <w:rsid w:val="008E723F"/>
    <w:rsid w:val="008E7776"/>
    <w:rsid w:val="008E7938"/>
    <w:rsid w:val="008F0270"/>
    <w:rsid w:val="008F1A5E"/>
    <w:rsid w:val="008F3181"/>
    <w:rsid w:val="008F4DEC"/>
    <w:rsid w:val="008F5497"/>
    <w:rsid w:val="00901BD7"/>
    <w:rsid w:val="0090467C"/>
    <w:rsid w:val="00905EB7"/>
    <w:rsid w:val="00907BEF"/>
    <w:rsid w:val="00914188"/>
    <w:rsid w:val="009175C2"/>
    <w:rsid w:val="00921A5F"/>
    <w:rsid w:val="00922452"/>
    <w:rsid w:val="00923FF6"/>
    <w:rsid w:val="009251E3"/>
    <w:rsid w:val="009262BE"/>
    <w:rsid w:val="00926CB5"/>
    <w:rsid w:val="00927BEC"/>
    <w:rsid w:val="009323AD"/>
    <w:rsid w:val="009345E0"/>
    <w:rsid w:val="00934C78"/>
    <w:rsid w:val="009372D2"/>
    <w:rsid w:val="00941C87"/>
    <w:rsid w:val="00941E30"/>
    <w:rsid w:val="0094292D"/>
    <w:rsid w:val="00947456"/>
    <w:rsid w:val="00947DA4"/>
    <w:rsid w:val="00950BE3"/>
    <w:rsid w:val="00951D7A"/>
    <w:rsid w:val="00953641"/>
    <w:rsid w:val="00956070"/>
    <w:rsid w:val="009576D2"/>
    <w:rsid w:val="00960ACC"/>
    <w:rsid w:val="00962833"/>
    <w:rsid w:val="00966DFB"/>
    <w:rsid w:val="00967FAE"/>
    <w:rsid w:val="00970378"/>
    <w:rsid w:val="00973443"/>
    <w:rsid w:val="0097397A"/>
    <w:rsid w:val="00975107"/>
    <w:rsid w:val="009761B4"/>
    <w:rsid w:val="00976393"/>
    <w:rsid w:val="00976868"/>
    <w:rsid w:val="00976B3C"/>
    <w:rsid w:val="00977571"/>
    <w:rsid w:val="00980F7F"/>
    <w:rsid w:val="00986A82"/>
    <w:rsid w:val="009914DA"/>
    <w:rsid w:val="00993CB3"/>
    <w:rsid w:val="009952E6"/>
    <w:rsid w:val="009A093F"/>
    <w:rsid w:val="009A0C5E"/>
    <w:rsid w:val="009A2612"/>
    <w:rsid w:val="009A343F"/>
    <w:rsid w:val="009A3AB9"/>
    <w:rsid w:val="009A7124"/>
    <w:rsid w:val="009A7239"/>
    <w:rsid w:val="009B1420"/>
    <w:rsid w:val="009B1785"/>
    <w:rsid w:val="009B35BA"/>
    <w:rsid w:val="009B37E1"/>
    <w:rsid w:val="009B3DF4"/>
    <w:rsid w:val="009C2387"/>
    <w:rsid w:val="009C3CC0"/>
    <w:rsid w:val="009C468B"/>
    <w:rsid w:val="009C6D2B"/>
    <w:rsid w:val="009D1F66"/>
    <w:rsid w:val="009E3072"/>
    <w:rsid w:val="009E4D9F"/>
    <w:rsid w:val="009E759C"/>
    <w:rsid w:val="009F031B"/>
    <w:rsid w:val="009F4112"/>
    <w:rsid w:val="00A00073"/>
    <w:rsid w:val="00A01481"/>
    <w:rsid w:val="00A03823"/>
    <w:rsid w:val="00A06891"/>
    <w:rsid w:val="00A06A2B"/>
    <w:rsid w:val="00A07A0C"/>
    <w:rsid w:val="00A10232"/>
    <w:rsid w:val="00A111B1"/>
    <w:rsid w:val="00A1246E"/>
    <w:rsid w:val="00A278A7"/>
    <w:rsid w:val="00A30FCB"/>
    <w:rsid w:val="00A31A11"/>
    <w:rsid w:val="00A32599"/>
    <w:rsid w:val="00A33520"/>
    <w:rsid w:val="00A37EC5"/>
    <w:rsid w:val="00A40314"/>
    <w:rsid w:val="00A4193C"/>
    <w:rsid w:val="00A41F21"/>
    <w:rsid w:val="00A42392"/>
    <w:rsid w:val="00A4346B"/>
    <w:rsid w:val="00A4450C"/>
    <w:rsid w:val="00A4597F"/>
    <w:rsid w:val="00A5103E"/>
    <w:rsid w:val="00A51CFC"/>
    <w:rsid w:val="00A551C6"/>
    <w:rsid w:val="00A55E17"/>
    <w:rsid w:val="00A61279"/>
    <w:rsid w:val="00A6150D"/>
    <w:rsid w:val="00A63B48"/>
    <w:rsid w:val="00A654D4"/>
    <w:rsid w:val="00A65572"/>
    <w:rsid w:val="00A65959"/>
    <w:rsid w:val="00A67154"/>
    <w:rsid w:val="00A73551"/>
    <w:rsid w:val="00A74176"/>
    <w:rsid w:val="00A7526F"/>
    <w:rsid w:val="00A776A4"/>
    <w:rsid w:val="00A7782B"/>
    <w:rsid w:val="00A77F41"/>
    <w:rsid w:val="00A8193D"/>
    <w:rsid w:val="00A82630"/>
    <w:rsid w:val="00A83AE3"/>
    <w:rsid w:val="00A8451D"/>
    <w:rsid w:val="00A8776E"/>
    <w:rsid w:val="00A87809"/>
    <w:rsid w:val="00A90174"/>
    <w:rsid w:val="00A90D96"/>
    <w:rsid w:val="00A92D42"/>
    <w:rsid w:val="00A94686"/>
    <w:rsid w:val="00A95F04"/>
    <w:rsid w:val="00A964B7"/>
    <w:rsid w:val="00A9678A"/>
    <w:rsid w:val="00AA2FF4"/>
    <w:rsid w:val="00AA3CDB"/>
    <w:rsid w:val="00AA3E09"/>
    <w:rsid w:val="00AA5A45"/>
    <w:rsid w:val="00AB157F"/>
    <w:rsid w:val="00AB380D"/>
    <w:rsid w:val="00AB57EB"/>
    <w:rsid w:val="00AB6619"/>
    <w:rsid w:val="00AC174A"/>
    <w:rsid w:val="00AC2C44"/>
    <w:rsid w:val="00AC4D95"/>
    <w:rsid w:val="00AC4F3D"/>
    <w:rsid w:val="00AC515D"/>
    <w:rsid w:val="00AC531C"/>
    <w:rsid w:val="00AC535A"/>
    <w:rsid w:val="00AD1DFC"/>
    <w:rsid w:val="00AD47DE"/>
    <w:rsid w:val="00AD5831"/>
    <w:rsid w:val="00AD6BCF"/>
    <w:rsid w:val="00AE13B5"/>
    <w:rsid w:val="00AE1EC5"/>
    <w:rsid w:val="00AE4C72"/>
    <w:rsid w:val="00AE721E"/>
    <w:rsid w:val="00AE7D3E"/>
    <w:rsid w:val="00AF0274"/>
    <w:rsid w:val="00AF17DB"/>
    <w:rsid w:val="00AF1B54"/>
    <w:rsid w:val="00AF4840"/>
    <w:rsid w:val="00AF52DB"/>
    <w:rsid w:val="00AF72A8"/>
    <w:rsid w:val="00B01B4F"/>
    <w:rsid w:val="00B02355"/>
    <w:rsid w:val="00B0253B"/>
    <w:rsid w:val="00B056D2"/>
    <w:rsid w:val="00B119C3"/>
    <w:rsid w:val="00B1228F"/>
    <w:rsid w:val="00B13911"/>
    <w:rsid w:val="00B14463"/>
    <w:rsid w:val="00B14A9F"/>
    <w:rsid w:val="00B20F18"/>
    <w:rsid w:val="00B217C3"/>
    <w:rsid w:val="00B24A3C"/>
    <w:rsid w:val="00B24CD7"/>
    <w:rsid w:val="00B26920"/>
    <w:rsid w:val="00B31DE3"/>
    <w:rsid w:val="00B31ECF"/>
    <w:rsid w:val="00B32400"/>
    <w:rsid w:val="00B33053"/>
    <w:rsid w:val="00B34AA0"/>
    <w:rsid w:val="00B377B8"/>
    <w:rsid w:val="00B37CE5"/>
    <w:rsid w:val="00B412DE"/>
    <w:rsid w:val="00B41313"/>
    <w:rsid w:val="00B42789"/>
    <w:rsid w:val="00B44253"/>
    <w:rsid w:val="00B457AB"/>
    <w:rsid w:val="00B4687D"/>
    <w:rsid w:val="00B469E5"/>
    <w:rsid w:val="00B50E11"/>
    <w:rsid w:val="00B51207"/>
    <w:rsid w:val="00B61A64"/>
    <w:rsid w:val="00B62AC8"/>
    <w:rsid w:val="00B63D00"/>
    <w:rsid w:val="00B65CA7"/>
    <w:rsid w:val="00B65D6F"/>
    <w:rsid w:val="00B66EFB"/>
    <w:rsid w:val="00B71973"/>
    <w:rsid w:val="00B71F1C"/>
    <w:rsid w:val="00B768D2"/>
    <w:rsid w:val="00B81808"/>
    <w:rsid w:val="00B8218B"/>
    <w:rsid w:val="00B82F4F"/>
    <w:rsid w:val="00B8407C"/>
    <w:rsid w:val="00B850A1"/>
    <w:rsid w:val="00B878E3"/>
    <w:rsid w:val="00B926C4"/>
    <w:rsid w:val="00B928D8"/>
    <w:rsid w:val="00B9320F"/>
    <w:rsid w:val="00B93215"/>
    <w:rsid w:val="00B9465F"/>
    <w:rsid w:val="00B95388"/>
    <w:rsid w:val="00B956A0"/>
    <w:rsid w:val="00B9752D"/>
    <w:rsid w:val="00BA07B8"/>
    <w:rsid w:val="00BA239F"/>
    <w:rsid w:val="00BA2CFF"/>
    <w:rsid w:val="00BA44B9"/>
    <w:rsid w:val="00BA488F"/>
    <w:rsid w:val="00BA54CB"/>
    <w:rsid w:val="00BA5638"/>
    <w:rsid w:val="00BB205A"/>
    <w:rsid w:val="00BB398A"/>
    <w:rsid w:val="00BB39FC"/>
    <w:rsid w:val="00BB3D5A"/>
    <w:rsid w:val="00BB3E39"/>
    <w:rsid w:val="00BB50DE"/>
    <w:rsid w:val="00BB6DE9"/>
    <w:rsid w:val="00BC03D5"/>
    <w:rsid w:val="00BC261A"/>
    <w:rsid w:val="00BC262A"/>
    <w:rsid w:val="00BC560E"/>
    <w:rsid w:val="00BD0693"/>
    <w:rsid w:val="00BD493D"/>
    <w:rsid w:val="00BD5C3B"/>
    <w:rsid w:val="00BD5C84"/>
    <w:rsid w:val="00BD7510"/>
    <w:rsid w:val="00BD7DAF"/>
    <w:rsid w:val="00BD7DD8"/>
    <w:rsid w:val="00BE116F"/>
    <w:rsid w:val="00BE211E"/>
    <w:rsid w:val="00BE3C78"/>
    <w:rsid w:val="00BE5CD6"/>
    <w:rsid w:val="00BE6EB3"/>
    <w:rsid w:val="00BE7DC6"/>
    <w:rsid w:val="00BF0C73"/>
    <w:rsid w:val="00BF1C44"/>
    <w:rsid w:val="00BF6241"/>
    <w:rsid w:val="00C008D0"/>
    <w:rsid w:val="00C02E49"/>
    <w:rsid w:val="00C036F6"/>
    <w:rsid w:val="00C0379A"/>
    <w:rsid w:val="00C03F0E"/>
    <w:rsid w:val="00C046DA"/>
    <w:rsid w:val="00C05469"/>
    <w:rsid w:val="00C115B9"/>
    <w:rsid w:val="00C12975"/>
    <w:rsid w:val="00C15AB3"/>
    <w:rsid w:val="00C16F6D"/>
    <w:rsid w:val="00C2240C"/>
    <w:rsid w:val="00C2264E"/>
    <w:rsid w:val="00C22C7B"/>
    <w:rsid w:val="00C2788D"/>
    <w:rsid w:val="00C27BC6"/>
    <w:rsid w:val="00C303B6"/>
    <w:rsid w:val="00C35DDD"/>
    <w:rsid w:val="00C36114"/>
    <w:rsid w:val="00C3618F"/>
    <w:rsid w:val="00C41CBD"/>
    <w:rsid w:val="00C43B53"/>
    <w:rsid w:val="00C43F98"/>
    <w:rsid w:val="00C46B33"/>
    <w:rsid w:val="00C540D8"/>
    <w:rsid w:val="00C56CD3"/>
    <w:rsid w:val="00C5774F"/>
    <w:rsid w:val="00C6198E"/>
    <w:rsid w:val="00C62384"/>
    <w:rsid w:val="00C6461D"/>
    <w:rsid w:val="00C6535B"/>
    <w:rsid w:val="00C72C19"/>
    <w:rsid w:val="00C73847"/>
    <w:rsid w:val="00C74866"/>
    <w:rsid w:val="00C753A3"/>
    <w:rsid w:val="00C7656C"/>
    <w:rsid w:val="00C8157F"/>
    <w:rsid w:val="00C84D1F"/>
    <w:rsid w:val="00C90359"/>
    <w:rsid w:val="00C9221B"/>
    <w:rsid w:val="00C92FD4"/>
    <w:rsid w:val="00C9529B"/>
    <w:rsid w:val="00CA044B"/>
    <w:rsid w:val="00CA1B86"/>
    <w:rsid w:val="00CA2B26"/>
    <w:rsid w:val="00CA32EA"/>
    <w:rsid w:val="00CA3E72"/>
    <w:rsid w:val="00CA4433"/>
    <w:rsid w:val="00CA6D86"/>
    <w:rsid w:val="00CB29AA"/>
    <w:rsid w:val="00CC01F6"/>
    <w:rsid w:val="00CC24BD"/>
    <w:rsid w:val="00CC56E5"/>
    <w:rsid w:val="00CC7BE9"/>
    <w:rsid w:val="00CC7F7D"/>
    <w:rsid w:val="00CD0FE9"/>
    <w:rsid w:val="00CD289D"/>
    <w:rsid w:val="00CD4240"/>
    <w:rsid w:val="00CD48ED"/>
    <w:rsid w:val="00CD4E3A"/>
    <w:rsid w:val="00CE189E"/>
    <w:rsid w:val="00CE1E33"/>
    <w:rsid w:val="00CE3809"/>
    <w:rsid w:val="00CE4A4F"/>
    <w:rsid w:val="00CE4B51"/>
    <w:rsid w:val="00CE6D1C"/>
    <w:rsid w:val="00CE6D2D"/>
    <w:rsid w:val="00CF19AE"/>
    <w:rsid w:val="00CF3647"/>
    <w:rsid w:val="00CF4810"/>
    <w:rsid w:val="00CF5032"/>
    <w:rsid w:val="00CF611F"/>
    <w:rsid w:val="00CF669D"/>
    <w:rsid w:val="00CF6BAC"/>
    <w:rsid w:val="00CF708F"/>
    <w:rsid w:val="00D0101B"/>
    <w:rsid w:val="00D01366"/>
    <w:rsid w:val="00D0192F"/>
    <w:rsid w:val="00D046A8"/>
    <w:rsid w:val="00D05A5F"/>
    <w:rsid w:val="00D05DE0"/>
    <w:rsid w:val="00D142EF"/>
    <w:rsid w:val="00D154CB"/>
    <w:rsid w:val="00D17723"/>
    <w:rsid w:val="00D1798D"/>
    <w:rsid w:val="00D2192C"/>
    <w:rsid w:val="00D21E0F"/>
    <w:rsid w:val="00D21FD7"/>
    <w:rsid w:val="00D223E7"/>
    <w:rsid w:val="00D242D8"/>
    <w:rsid w:val="00D24AF1"/>
    <w:rsid w:val="00D26632"/>
    <w:rsid w:val="00D26C3E"/>
    <w:rsid w:val="00D2704E"/>
    <w:rsid w:val="00D27156"/>
    <w:rsid w:val="00D27AEB"/>
    <w:rsid w:val="00D312C8"/>
    <w:rsid w:val="00D33864"/>
    <w:rsid w:val="00D33AA6"/>
    <w:rsid w:val="00D33CAE"/>
    <w:rsid w:val="00D341D8"/>
    <w:rsid w:val="00D40D24"/>
    <w:rsid w:val="00D41E39"/>
    <w:rsid w:val="00D43059"/>
    <w:rsid w:val="00D447D0"/>
    <w:rsid w:val="00D44C4E"/>
    <w:rsid w:val="00D46300"/>
    <w:rsid w:val="00D46830"/>
    <w:rsid w:val="00D50D55"/>
    <w:rsid w:val="00D510F0"/>
    <w:rsid w:val="00D541E8"/>
    <w:rsid w:val="00D56B9D"/>
    <w:rsid w:val="00D56E7D"/>
    <w:rsid w:val="00D57367"/>
    <w:rsid w:val="00D60D1C"/>
    <w:rsid w:val="00D62A75"/>
    <w:rsid w:val="00D62A81"/>
    <w:rsid w:val="00D62B0B"/>
    <w:rsid w:val="00D633AB"/>
    <w:rsid w:val="00D63A76"/>
    <w:rsid w:val="00D66BC7"/>
    <w:rsid w:val="00D708F8"/>
    <w:rsid w:val="00D7231A"/>
    <w:rsid w:val="00D72CAC"/>
    <w:rsid w:val="00D73EEB"/>
    <w:rsid w:val="00D77ABE"/>
    <w:rsid w:val="00D80AD6"/>
    <w:rsid w:val="00D82281"/>
    <w:rsid w:val="00D83747"/>
    <w:rsid w:val="00D83E83"/>
    <w:rsid w:val="00D84951"/>
    <w:rsid w:val="00D852BB"/>
    <w:rsid w:val="00D86769"/>
    <w:rsid w:val="00D87136"/>
    <w:rsid w:val="00D87ACC"/>
    <w:rsid w:val="00D915A6"/>
    <w:rsid w:val="00D91F3C"/>
    <w:rsid w:val="00D92057"/>
    <w:rsid w:val="00D92F1B"/>
    <w:rsid w:val="00D9349A"/>
    <w:rsid w:val="00D93626"/>
    <w:rsid w:val="00D942CF"/>
    <w:rsid w:val="00D94426"/>
    <w:rsid w:val="00D957AB"/>
    <w:rsid w:val="00DA0623"/>
    <w:rsid w:val="00DA224D"/>
    <w:rsid w:val="00DA2676"/>
    <w:rsid w:val="00DA639B"/>
    <w:rsid w:val="00DA7697"/>
    <w:rsid w:val="00DA77C1"/>
    <w:rsid w:val="00DA781D"/>
    <w:rsid w:val="00DB0C42"/>
    <w:rsid w:val="00DB2D3E"/>
    <w:rsid w:val="00DB56E5"/>
    <w:rsid w:val="00DB6201"/>
    <w:rsid w:val="00DB6A50"/>
    <w:rsid w:val="00DB7F9E"/>
    <w:rsid w:val="00DC2F2E"/>
    <w:rsid w:val="00DC36AB"/>
    <w:rsid w:val="00DC3797"/>
    <w:rsid w:val="00DD3413"/>
    <w:rsid w:val="00DD4CD9"/>
    <w:rsid w:val="00DD552A"/>
    <w:rsid w:val="00DE25EC"/>
    <w:rsid w:val="00DE51C9"/>
    <w:rsid w:val="00DE6C39"/>
    <w:rsid w:val="00DF106D"/>
    <w:rsid w:val="00DF35F4"/>
    <w:rsid w:val="00DF4431"/>
    <w:rsid w:val="00DF44C3"/>
    <w:rsid w:val="00E00D42"/>
    <w:rsid w:val="00E00E7D"/>
    <w:rsid w:val="00E0498B"/>
    <w:rsid w:val="00E04AF2"/>
    <w:rsid w:val="00E05754"/>
    <w:rsid w:val="00E067D2"/>
    <w:rsid w:val="00E104B6"/>
    <w:rsid w:val="00E12A86"/>
    <w:rsid w:val="00E13315"/>
    <w:rsid w:val="00E133EF"/>
    <w:rsid w:val="00E13861"/>
    <w:rsid w:val="00E1532B"/>
    <w:rsid w:val="00E17CA9"/>
    <w:rsid w:val="00E20D59"/>
    <w:rsid w:val="00E213E0"/>
    <w:rsid w:val="00E220C1"/>
    <w:rsid w:val="00E221FB"/>
    <w:rsid w:val="00E30395"/>
    <w:rsid w:val="00E31005"/>
    <w:rsid w:val="00E32F20"/>
    <w:rsid w:val="00E33252"/>
    <w:rsid w:val="00E346A5"/>
    <w:rsid w:val="00E36513"/>
    <w:rsid w:val="00E374B9"/>
    <w:rsid w:val="00E41952"/>
    <w:rsid w:val="00E43834"/>
    <w:rsid w:val="00E4569A"/>
    <w:rsid w:val="00E45CF6"/>
    <w:rsid w:val="00E51EAA"/>
    <w:rsid w:val="00E53C5F"/>
    <w:rsid w:val="00E560A7"/>
    <w:rsid w:val="00E5614A"/>
    <w:rsid w:val="00E564A7"/>
    <w:rsid w:val="00E620BB"/>
    <w:rsid w:val="00E62234"/>
    <w:rsid w:val="00E64254"/>
    <w:rsid w:val="00E647FF"/>
    <w:rsid w:val="00E65242"/>
    <w:rsid w:val="00E6612E"/>
    <w:rsid w:val="00E66369"/>
    <w:rsid w:val="00E663AA"/>
    <w:rsid w:val="00E71A5B"/>
    <w:rsid w:val="00E72DD6"/>
    <w:rsid w:val="00E74220"/>
    <w:rsid w:val="00E80539"/>
    <w:rsid w:val="00E8060D"/>
    <w:rsid w:val="00E8153F"/>
    <w:rsid w:val="00E8217D"/>
    <w:rsid w:val="00E826BE"/>
    <w:rsid w:val="00E82A60"/>
    <w:rsid w:val="00E83F36"/>
    <w:rsid w:val="00E86D55"/>
    <w:rsid w:val="00E8796C"/>
    <w:rsid w:val="00E931A9"/>
    <w:rsid w:val="00E95558"/>
    <w:rsid w:val="00E9580E"/>
    <w:rsid w:val="00E95D0F"/>
    <w:rsid w:val="00E96B29"/>
    <w:rsid w:val="00E977FE"/>
    <w:rsid w:val="00EA0715"/>
    <w:rsid w:val="00EA0F0C"/>
    <w:rsid w:val="00EA1B66"/>
    <w:rsid w:val="00EA2798"/>
    <w:rsid w:val="00EA5354"/>
    <w:rsid w:val="00EA5DA4"/>
    <w:rsid w:val="00EA64AE"/>
    <w:rsid w:val="00EB07EE"/>
    <w:rsid w:val="00EB1B0E"/>
    <w:rsid w:val="00EB2A86"/>
    <w:rsid w:val="00EB3361"/>
    <w:rsid w:val="00EB5ED1"/>
    <w:rsid w:val="00EB74D6"/>
    <w:rsid w:val="00EC0165"/>
    <w:rsid w:val="00EC3282"/>
    <w:rsid w:val="00EC66CB"/>
    <w:rsid w:val="00EC6E37"/>
    <w:rsid w:val="00ED0A51"/>
    <w:rsid w:val="00ED2363"/>
    <w:rsid w:val="00ED249B"/>
    <w:rsid w:val="00ED30B1"/>
    <w:rsid w:val="00ED334D"/>
    <w:rsid w:val="00ED3FF5"/>
    <w:rsid w:val="00EE0399"/>
    <w:rsid w:val="00EE21D8"/>
    <w:rsid w:val="00EE3CE6"/>
    <w:rsid w:val="00EE46A9"/>
    <w:rsid w:val="00EE4F9B"/>
    <w:rsid w:val="00EE5F03"/>
    <w:rsid w:val="00EF142D"/>
    <w:rsid w:val="00EF294F"/>
    <w:rsid w:val="00EF506F"/>
    <w:rsid w:val="00EF570C"/>
    <w:rsid w:val="00EF573A"/>
    <w:rsid w:val="00EF5FE5"/>
    <w:rsid w:val="00EF66B6"/>
    <w:rsid w:val="00F000A3"/>
    <w:rsid w:val="00F00186"/>
    <w:rsid w:val="00F00974"/>
    <w:rsid w:val="00F0253B"/>
    <w:rsid w:val="00F0543F"/>
    <w:rsid w:val="00F05B78"/>
    <w:rsid w:val="00F0709B"/>
    <w:rsid w:val="00F07325"/>
    <w:rsid w:val="00F11CCC"/>
    <w:rsid w:val="00F128D8"/>
    <w:rsid w:val="00F142EF"/>
    <w:rsid w:val="00F143F3"/>
    <w:rsid w:val="00F14ECA"/>
    <w:rsid w:val="00F16869"/>
    <w:rsid w:val="00F20C9A"/>
    <w:rsid w:val="00F20F8A"/>
    <w:rsid w:val="00F22103"/>
    <w:rsid w:val="00F222A0"/>
    <w:rsid w:val="00F235F4"/>
    <w:rsid w:val="00F24210"/>
    <w:rsid w:val="00F24C01"/>
    <w:rsid w:val="00F27287"/>
    <w:rsid w:val="00F2786E"/>
    <w:rsid w:val="00F279A4"/>
    <w:rsid w:val="00F3235E"/>
    <w:rsid w:val="00F32AEE"/>
    <w:rsid w:val="00F35B72"/>
    <w:rsid w:val="00F36F35"/>
    <w:rsid w:val="00F40EDC"/>
    <w:rsid w:val="00F41136"/>
    <w:rsid w:val="00F42177"/>
    <w:rsid w:val="00F435D2"/>
    <w:rsid w:val="00F45047"/>
    <w:rsid w:val="00F4510A"/>
    <w:rsid w:val="00F475C3"/>
    <w:rsid w:val="00F47B6F"/>
    <w:rsid w:val="00F50471"/>
    <w:rsid w:val="00F50B5A"/>
    <w:rsid w:val="00F51491"/>
    <w:rsid w:val="00F53351"/>
    <w:rsid w:val="00F533D0"/>
    <w:rsid w:val="00F53664"/>
    <w:rsid w:val="00F550BE"/>
    <w:rsid w:val="00F5750D"/>
    <w:rsid w:val="00F57E6C"/>
    <w:rsid w:val="00F603C3"/>
    <w:rsid w:val="00F60955"/>
    <w:rsid w:val="00F615A3"/>
    <w:rsid w:val="00F637F0"/>
    <w:rsid w:val="00F66A67"/>
    <w:rsid w:val="00F732C2"/>
    <w:rsid w:val="00F762BC"/>
    <w:rsid w:val="00F76390"/>
    <w:rsid w:val="00F83832"/>
    <w:rsid w:val="00F83C95"/>
    <w:rsid w:val="00F85628"/>
    <w:rsid w:val="00F86259"/>
    <w:rsid w:val="00F87300"/>
    <w:rsid w:val="00F90444"/>
    <w:rsid w:val="00F911EF"/>
    <w:rsid w:val="00F92516"/>
    <w:rsid w:val="00F92846"/>
    <w:rsid w:val="00F932E7"/>
    <w:rsid w:val="00F942EE"/>
    <w:rsid w:val="00F95105"/>
    <w:rsid w:val="00F95AA0"/>
    <w:rsid w:val="00FA0F20"/>
    <w:rsid w:val="00FA1A41"/>
    <w:rsid w:val="00FA241F"/>
    <w:rsid w:val="00FA337F"/>
    <w:rsid w:val="00FA4465"/>
    <w:rsid w:val="00FA4F23"/>
    <w:rsid w:val="00FA607B"/>
    <w:rsid w:val="00FA6209"/>
    <w:rsid w:val="00FB0B70"/>
    <w:rsid w:val="00FB3EEE"/>
    <w:rsid w:val="00FB408F"/>
    <w:rsid w:val="00FB457C"/>
    <w:rsid w:val="00FB5843"/>
    <w:rsid w:val="00FB61EA"/>
    <w:rsid w:val="00FC3EDE"/>
    <w:rsid w:val="00FC6257"/>
    <w:rsid w:val="00FC6C34"/>
    <w:rsid w:val="00FD0940"/>
    <w:rsid w:val="00FD1105"/>
    <w:rsid w:val="00FD2EE3"/>
    <w:rsid w:val="00FD3AFE"/>
    <w:rsid w:val="00FD4456"/>
    <w:rsid w:val="00FD4F11"/>
    <w:rsid w:val="00FD690E"/>
    <w:rsid w:val="00FD720C"/>
    <w:rsid w:val="00FD7E7E"/>
    <w:rsid w:val="00FE00AC"/>
    <w:rsid w:val="00FE2ACB"/>
    <w:rsid w:val="00FE3940"/>
    <w:rsid w:val="00FE3B4A"/>
    <w:rsid w:val="00FE40C7"/>
    <w:rsid w:val="00FE4839"/>
    <w:rsid w:val="00FF12DB"/>
    <w:rsid w:val="00FF1BCB"/>
    <w:rsid w:val="00FF271E"/>
    <w:rsid w:val="00FF2DBB"/>
    <w:rsid w:val="00FF5DE8"/>
    <w:rsid w:val="00FF68DC"/>
    <w:rsid w:val="00FF7D13"/>
    <w:rsid w:val="05BF54F2"/>
    <w:rsid w:val="0D7DACA6"/>
    <w:rsid w:val="2345A3C9"/>
    <w:rsid w:val="29EAEF5C"/>
    <w:rsid w:val="2FEB4D85"/>
    <w:rsid w:val="414B041C"/>
    <w:rsid w:val="5077A8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EBCA"/>
  <w15:chartTrackingRefBased/>
  <w15:docId w15:val="{657807FA-F996-4871-B981-0C5C4399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F708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1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119C3"/>
    <w:pPr>
      <w:ind w:left="720"/>
      <w:contextualSpacing/>
    </w:pPr>
  </w:style>
  <w:style w:type="paragraph" w:styleId="Pis">
    <w:name w:val="header"/>
    <w:basedOn w:val="Normaallaad"/>
    <w:link w:val="PisMrk"/>
    <w:uiPriority w:val="99"/>
    <w:unhideWhenUsed/>
    <w:rsid w:val="00264BDC"/>
    <w:pPr>
      <w:tabs>
        <w:tab w:val="center" w:pos="4536"/>
        <w:tab w:val="right" w:pos="9072"/>
      </w:tabs>
      <w:spacing w:after="0" w:line="240" w:lineRule="auto"/>
    </w:pPr>
  </w:style>
  <w:style w:type="character" w:customStyle="1" w:styleId="PisMrk">
    <w:name w:val="Päis Märk"/>
    <w:basedOn w:val="Liguvaikefont"/>
    <w:link w:val="Pis"/>
    <w:uiPriority w:val="99"/>
    <w:rsid w:val="00264BDC"/>
  </w:style>
  <w:style w:type="paragraph" w:styleId="Jalus">
    <w:name w:val="footer"/>
    <w:basedOn w:val="Normaallaad"/>
    <w:link w:val="JalusMrk"/>
    <w:uiPriority w:val="99"/>
    <w:unhideWhenUsed/>
    <w:rsid w:val="00264BDC"/>
    <w:pPr>
      <w:tabs>
        <w:tab w:val="center" w:pos="4536"/>
        <w:tab w:val="right" w:pos="9072"/>
      </w:tabs>
      <w:spacing w:after="0" w:line="240" w:lineRule="auto"/>
    </w:pPr>
  </w:style>
  <w:style w:type="character" w:customStyle="1" w:styleId="JalusMrk">
    <w:name w:val="Jalus Märk"/>
    <w:basedOn w:val="Liguvaikefont"/>
    <w:link w:val="Jalus"/>
    <w:uiPriority w:val="99"/>
    <w:rsid w:val="00264BDC"/>
  </w:style>
  <w:style w:type="character" w:styleId="Kommentaariviide">
    <w:name w:val="annotation reference"/>
    <w:basedOn w:val="Liguvaikefont"/>
    <w:uiPriority w:val="99"/>
    <w:semiHidden/>
    <w:unhideWhenUsed/>
    <w:rsid w:val="00F5750D"/>
    <w:rPr>
      <w:sz w:val="16"/>
      <w:szCs w:val="16"/>
    </w:rPr>
  </w:style>
  <w:style w:type="paragraph" w:styleId="Kommentaaritekst">
    <w:name w:val="annotation text"/>
    <w:basedOn w:val="Normaallaad"/>
    <w:link w:val="KommentaaritekstMrk"/>
    <w:uiPriority w:val="99"/>
    <w:unhideWhenUsed/>
    <w:rsid w:val="00F5750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5750D"/>
    <w:rPr>
      <w:sz w:val="20"/>
      <w:szCs w:val="20"/>
    </w:rPr>
  </w:style>
  <w:style w:type="paragraph" w:styleId="Kommentaariteema">
    <w:name w:val="annotation subject"/>
    <w:basedOn w:val="Kommentaaritekst"/>
    <w:next w:val="Kommentaaritekst"/>
    <w:link w:val="KommentaariteemaMrk"/>
    <w:uiPriority w:val="99"/>
    <w:semiHidden/>
    <w:unhideWhenUsed/>
    <w:rsid w:val="00F5750D"/>
    <w:rPr>
      <w:b/>
      <w:bCs/>
    </w:rPr>
  </w:style>
  <w:style w:type="character" w:customStyle="1" w:styleId="KommentaariteemaMrk">
    <w:name w:val="Kommentaari teema Märk"/>
    <w:basedOn w:val="KommentaaritekstMrk"/>
    <w:link w:val="Kommentaariteema"/>
    <w:uiPriority w:val="99"/>
    <w:semiHidden/>
    <w:rsid w:val="00F5750D"/>
    <w:rPr>
      <w:b/>
      <w:bCs/>
      <w:sz w:val="20"/>
      <w:szCs w:val="20"/>
    </w:rPr>
  </w:style>
  <w:style w:type="paragraph" w:styleId="Jutumullitekst">
    <w:name w:val="Balloon Text"/>
    <w:basedOn w:val="Normaallaad"/>
    <w:link w:val="JutumullitekstMrk"/>
    <w:uiPriority w:val="99"/>
    <w:semiHidden/>
    <w:unhideWhenUsed/>
    <w:rsid w:val="00F5750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5750D"/>
    <w:rPr>
      <w:rFonts w:ascii="Segoe UI" w:hAnsi="Segoe UI" w:cs="Segoe UI"/>
      <w:sz w:val="18"/>
      <w:szCs w:val="18"/>
    </w:rPr>
  </w:style>
  <w:style w:type="character" w:styleId="Hperlink">
    <w:name w:val="Hyperlink"/>
    <w:basedOn w:val="Liguvaikefont"/>
    <w:uiPriority w:val="99"/>
    <w:unhideWhenUsed/>
    <w:rsid w:val="00F2786E"/>
    <w:rPr>
      <w:color w:val="0563C1" w:themeColor="hyperlink"/>
      <w:u w:val="single"/>
    </w:rPr>
  </w:style>
  <w:style w:type="paragraph" w:styleId="Allmrkusetekst">
    <w:name w:val="footnote text"/>
    <w:basedOn w:val="Normaallaad"/>
    <w:link w:val="AllmrkusetekstMrk"/>
    <w:uiPriority w:val="99"/>
    <w:semiHidden/>
    <w:unhideWhenUsed/>
    <w:rsid w:val="009B142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B1420"/>
    <w:rPr>
      <w:sz w:val="20"/>
      <w:szCs w:val="20"/>
    </w:rPr>
  </w:style>
  <w:style w:type="character" w:styleId="Allmrkuseviide">
    <w:name w:val="footnote reference"/>
    <w:basedOn w:val="Liguvaikefont"/>
    <w:uiPriority w:val="99"/>
    <w:semiHidden/>
    <w:unhideWhenUsed/>
    <w:rsid w:val="009B1420"/>
    <w:rPr>
      <w:vertAlign w:val="superscript"/>
    </w:rPr>
  </w:style>
  <w:style w:type="character" w:styleId="Klastatudhperlink">
    <w:name w:val="FollowedHyperlink"/>
    <w:basedOn w:val="Liguvaikefont"/>
    <w:uiPriority w:val="99"/>
    <w:semiHidden/>
    <w:unhideWhenUsed/>
    <w:rsid w:val="0022430F"/>
    <w:rPr>
      <w:color w:val="954F72" w:themeColor="followedHyperlink"/>
      <w:u w:val="single"/>
    </w:rPr>
  </w:style>
  <w:style w:type="paragraph" w:styleId="Normaallaadveeb">
    <w:name w:val="Normal (Web)"/>
    <w:basedOn w:val="Normaallaad"/>
    <w:uiPriority w:val="99"/>
    <w:semiHidden/>
    <w:unhideWhenUsed/>
    <w:rsid w:val="00F9044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293E3F"/>
    <w:rPr>
      <w:color w:val="605E5C"/>
      <w:shd w:val="clear" w:color="auto" w:fill="E1DFDD"/>
    </w:rPr>
  </w:style>
  <w:style w:type="character" w:customStyle="1" w:styleId="super">
    <w:name w:val="super"/>
    <w:basedOn w:val="Liguvaikefont"/>
    <w:rsid w:val="007E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375">
      <w:bodyDiv w:val="1"/>
      <w:marLeft w:val="0"/>
      <w:marRight w:val="0"/>
      <w:marTop w:val="0"/>
      <w:marBottom w:val="0"/>
      <w:divBdr>
        <w:top w:val="none" w:sz="0" w:space="0" w:color="auto"/>
        <w:left w:val="none" w:sz="0" w:space="0" w:color="auto"/>
        <w:bottom w:val="none" w:sz="0" w:space="0" w:color="auto"/>
        <w:right w:val="none" w:sz="0" w:space="0" w:color="auto"/>
      </w:divBdr>
    </w:div>
    <w:div w:id="197813037">
      <w:bodyDiv w:val="1"/>
      <w:marLeft w:val="0"/>
      <w:marRight w:val="0"/>
      <w:marTop w:val="0"/>
      <w:marBottom w:val="0"/>
      <w:divBdr>
        <w:top w:val="none" w:sz="0" w:space="0" w:color="auto"/>
        <w:left w:val="none" w:sz="0" w:space="0" w:color="auto"/>
        <w:bottom w:val="none" w:sz="0" w:space="0" w:color="auto"/>
        <w:right w:val="none" w:sz="0" w:space="0" w:color="auto"/>
      </w:divBdr>
    </w:div>
    <w:div w:id="210967214">
      <w:bodyDiv w:val="1"/>
      <w:marLeft w:val="0"/>
      <w:marRight w:val="0"/>
      <w:marTop w:val="0"/>
      <w:marBottom w:val="0"/>
      <w:divBdr>
        <w:top w:val="none" w:sz="0" w:space="0" w:color="auto"/>
        <w:left w:val="none" w:sz="0" w:space="0" w:color="auto"/>
        <w:bottom w:val="none" w:sz="0" w:space="0" w:color="auto"/>
        <w:right w:val="none" w:sz="0" w:space="0" w:color="auto"/>
      </w:divBdr>
    </w:div>
    <w:div w:id="303656554">
      <w:bodyDiv w:val="1"/>
      <w:marLeft w:val="0"/>
      <w:marRight w:val="0"/>
      <w:marTop w:val="0"/>
      <w:marBottom w:val="0"/>
      <w:divBdr>
        <w:top w:val="none" w:sz="0" w:space="0" w:color="auto"/>
        <w:left w:val="none" w:sz="0" w:space="0" w:color="auto"/>
        <w:bottom w:val="none" w:sz="0" w:space="0" w:color="auto"/>
        <w:right w:val="none" w:sz="0" w:space="0" w:color="auto"/>
      </w:divBdr>
    </w:div>
    <w:div w:id="373427002">
      <w:bodyDiv w:val="1"/>
      <w:marLeft w:val="0"/>
      <w:marRight w:val="0"/>
      <w:marTop w:val="0"/>
      <w:marBottom w:val="0"/>
      <w:divBdr>
        <w:top w:val="none" w:sz="0" w:space="0" w:color="auto"/>
        <w:left w:val="none" w:sz="0" w:space="0" w:color="auto"/>
        <w:bottom w:val="none" w:sz="0" w:space="0" w:color="auto"/>
        <w:right w:val="none" w:sz="0" w:space="0" w:color="auto"/>
      </w:divBdr>
    </w:div>
    <w:div w:id="387997179">
      <w:bodyDiv w:val="1"/>
      <w:marLeft w:val="0"/>
      <w:marRight w:val="0"/>
      <w:marTop w:val="0"/>
      <w:marBottom w:val="0"/>
      <w:divBdr>
        <w:top w:val="none" w:sz="0" w:space="0" w:color="auto"/>
        <w:left w:val="none" w:sz="0" w:space="0" w:color="auto"/>
        <w:bottom w:val="none" w:sz="0" w:space="0" w:color="auto"/>
        <w:right w:val="none" w:sz="0" w:space="0" w:color="auto"/>
      </w:divBdr>
    </w:div>
    <w:div w:id="470367726">
      <w:bodyDiv w:val="1"/>
      <w:marLeft w:val="0"/>
      <w:marRight w:val="0"/>
      <w:marTop w:val="0"/>
      <w:marBottom w:val="0"/>
      <w:divBdr>
        <w:top w:val="none" w:sz="0" w:space="0" w:color="auto"/>
        <w:left w:val="none" w:sz="0" w:space="0" w:color="auto"/>
        <w:bottom w:val="none" w:sz="0" w:space="0" w:color="auto"/>
        <w:right w:val="none" w:sz="0" w:space="0" w:color="auto"/>
      </w:divBdr>
    </w:div>
    <w:div w:id="515384471">
      <w:bodyDiv w:val="1"/>
      <w:marLeft w:val="0"/>
      <w:marRight w:val="0"/>
      <w:marTop w:val="0"/>
      <w:marBottom w:val="0"/>
      <w:divBdr>
        <w:top w:val="none" w:sz="0" w:space="0" w:color="auto"/>
        <w:left w:val="none" w:sz="0" w:space="0" w:color="auto"/>
        <w:bottom w:val="none" w:sz="0" w:space="0" w:color="auto"/>
        <w:right w:val="none" w:sz="0" w:space="0" w:color="auto"/>
      </w:divBdr>
    </w:div>
    <w:div w:id="540241371">
      <w:bodyDiv w:val="1"/>
      <w:marLeft w:val="0"/>
      <w:marRight w:val="0"/>
      <w:marTop w:val="0"/>
      <w:marBottom w:val="0"/>
      <w:divBdr>
        <w:top w:val="none" w:sz="0" w:space="0" w:color="auto"/>
        <w:left w:val="none" w:sz="0" w:space="0" w:color="auto"/>
        <w:bottom w:val="none" w:sz="0" w:space="0" w:color="auto"/>
        <w:right w:val="none" w:sz="0" w:space="0" w:color="auto"/>
      </w:divBdr>
    </w:div>
    <w:div w:id="618292639">
      <w:bodyDiv w:val="1"/>
      <w:marLeft w:val="0"/>
      <w:marRight w:val="0"/>
      <w:marTop w:val="0"/>
      <w:marBottom w:val="0"/>
      <w:divBdr>
        <w:top w:val="none" w:sz="0" w:space="0" w:color="auto"/>
        <w:left w:val="none" w:sz="0" w:space="0" w:color="auto"/>
        <w:bottom w:val="none" w:sz="0" w:space="0" w:color="auto"/>
        <w:right w:val="none" w:sz="0" w:space="0" w:color="auto"/>
      </w:divBdr>
    </w:div>
    <w:div w:id="634261540">
      <w:bodyDiv w:val="1"/>
      <w:marLeft w:val="0"/>
      <w:marRight w:val="0"/>
      <w:marTop w:val="0"/>
      <w:marBottom w:val="0"/>
      <w:divBdr>
        <w:top w:val="none" w:sz="0" w:space="0" w:color="auto"/>
        <w:left w:val="none" w:sz="0" w:space="0" w:color="auto"/>
        <w:bottom w:val="none" w:sz="0" w:space="0" w:color="auto"/>
        <w:right w:val="none" w:sz="0" w:space="0" w:color="auto"/>
      </w:divBdr>
    </w:div>
    <w:div w:id="705101943">
      <w:bodyDiv w:val="1"/>
      <w:marLeft w:val="0"/>
      <w:marRight w:val="0"/>
      <w:marTop w:val="0"/>
      <w:marBottom w:val="0"/>
      <w:divBdr>
        <w:top w:val="none" w:sz="0" w:space="0" w:color="auto"/>
        <w:left w:val="none" w:sz="0" w:space="0" w:color="auto"/>
        <w:bottom w:val="none" w:sz="0" w:space="0" w:color="auto"/>
        <w:right w:val="none" w:sz="0" w:space="0" w:color="auto"/>
      </w:divBdr>
    </w:div>
    <w:div w:id="805852193">
      <w:bodyDiv w:val="1"/>
      <w:marLeft w:val="0"/>
      <w:marRight w:val="0"/>
      <w:marTop w:val="0"/>
      <w:marBottom w:val="0"/>
      <w:divBdr>
        <w:top w:val="none" w:sz="0" w:space="0" w:color="auto"/>
        <w:left w:val="none" w:sz="0" w:space="0" w:color="auto"/>
        <w:bottom w:val="none" w:sz="0" w:space="0" w:color="auto"/>
        <w:right w:val="none" w:sz="0" w:space="0" w:color="auto"/>
      </w:divBdr>
    </w:div>
    <w:div w:id="827751692">
      <w:bodyDiv w:val="1"/>
      <w:marLeft w:val="0"/>
      <w:marRight w:val="0"/>
      <w:marTop w:val="0"/>
      <w:marBottom w:val="0"/>
      <w:divBdr>
        <w:top w:val="none" w:sz="0" w:space="0" w:color="auto"/>
        <w:left w:val="none" w:sz="0" w:space="0" w:color="auto"/>
        <w:bottom w:val="none" w:sz="0" w:space="0" w:color="auto"/>
        <w:right w:val="none" w:sz="0" w:space="0" w:color="auto"/>
      </w:divBdr>
    </w:div>
    <w:div w:id="852108412">
      <w:bodyDiv w:val="1"/>
      <w:marLeft w:val="0"/>
      <w:marRight w:val="0"/>
      <w:marTop w:val="0"/>
      <w:marBottom w:val="0"/>
      <w:divBdr>
        <w:top w:val="none" w:sz="0" w:space="0" w:color="auto"/>
        <w:left w:val="none" w:sz="0" w:space="0" w:color="auto"/>
        <w:bottom w:val="none" w:sz="0" w:space="0" w:color="auto"/>
        <w:right w:val="none" w:sz="0" w:space="0" w:color="auto"/>
      </w:divBdr>
    </w:div>
    <w:div w:id="876696285">
      <w:bodyDiv w:val="1"/>
      <w:marLeft w:val="0"/>
      <w:marRight w:val="0"/>
      <w:marTop w:val="0"/>
      <w:marBottom w:val="0"/>
      <w:divBdr>
        <w:top w:val="none" w:sz="0" w:space="0" w:color="auto"/>
        <w:left w:val="none" w:sz="0" w:space="0" w:color="auto"/>
        <w:bottom w:val="none" w:sz="0" w:space="0" w:color="auto"/>
        <w:right w:val="none" w:sz="0" w:space="0" w:color="auto"/>
      </w:divBdr>
    </w:div>
    <w:div w:id="888565403">
      <w:bodyDiv w:val="1"/>
      <w:marLeft w:val="0"/>
      <w:marRight w:val="0"/>
      <w:marTop w:val="0"/>
      <w:marBottom w:val="0"/>
      <w:divBdr>
        <w:top w:val="none" w:sz="0" w:space="0" w:color="auto"/>
        <w:left w:val="none" w:sz="0" w:space="0" w:color="auto"/>
        <w:bottom w:val="none" w:sz="0" w:space="0" w:color="auto"/>
        <w:right w:val="none" w:sz="0" w:space="0" w:color="auto"/>
      </w:divBdr>
    </w:div>
    <w:div w:id="913861286">
      <w:bodyDiv w:val="1"/>
      <w:marLeft w:val="0"/>
      <w:marRight w:val="0"/>
      <w:marTop w:val="0"/>
      <w:marBottom w:val="0"/>
      <w:divBdr>
        <w:top w:val="none" w:sz="0" w:space="0" w:color="auto"/>
        <w:left w:val="none" w:sz="0" w:space="0" w:color="auto"/>
        <w:bottom w:val="none" w:sz="0" w:space="0" w:color="auto"/>
        <w:right w:val="none" w:sz="0" w:space="0" w:color="auto"/>
      </w:divBdr>
    </w:div>
    <w:div w:id="916482307">
      <w:bodyDiv w:val="1"/>
      <w:marLeft w:val="0"/>
      <w:marRight w:val="0"/>
      <w:marTop w:val="0"/>
      <w:marBottom w:val="0"/>
      <w:divBdr>
        <w:top w:val="none" w:sz="0" w:space="0" w:color="auto"/>
        <w:left w:val="none" w:sz="0" w:space="0" w:color="auto"/>
        <w:bottom w:val="none" w:sz="0" w:space="0" w:color="auto"/>
        <w:right w:val="none" w:sz="0" w:space="0" w:color="auto"/>
      </w:divBdr>
    </w:div>
    <w:div w:id="921064410">
      <w:bodyDiv w:val="1"/>
      <w:marLeft w:val="0"/>
      <w:marRight w:val="0"/>
      <w:marTop w:val="0"/>
      <w:marBottom w:val="0"/>
      <w:divBdr>
        <w:top w:val="none" w:sz="0" w:space="0" w:color="auto"/>
        <w:left w:val="none" w:sz="0" w:space="0" w:color="auto"/>
        <w:bottom w:val="none" w:sz="0" w:space="0" w:color="auto"/>
        <w:right w:val="none" w:sz="0" w:space="0" w:color="auto"/>
      </w:divBdr>
    </w:div>
    <w:div w:id="1068649162">
      <w:bodyDiv w:val="1"/>
      <w:marLeft w:val="0"/>
      <w:marRight w:val="0"/>
      <w:marTop w:val="0"/>
      <w:marBottom w:val="0"/>
      <w:divBdr>
        <w:top w:val="none" w:sz="0" w:space="0" w:color="auto"/>
        <w:left w:val="none" w:sz="0" w:space="0" w:color="auto"/>
        <w:bottom w:val="none" w:sz="0" w:space="0" w:color="auto"/>
        <w:right w:val="none" w:sz="0" w:space="0" w:color="auto"/>
      </w:divBdr>
    </w:div>
    <w:div w:id="1169324631">
      <w:bodyDiv w:val="1"/>
      <w:marLeft w:val="0"/>
      <w:marRight w:val="0"/>
      <w:marTop w:val="0"/>
      <w:marBottom w:val="0"/>
      <w:divBdr>
        <w:top w:val="none" w:sz="0" w:space="0" w:color="auto"/>
        <w:left w:val="none" w:sz="0" w:space="0" w:color="auto"/>
        <w:bottom w:val="none" w:sz="0" w:space="0" w:color="auto"/>
        <w:right w:val="none" w:sz="0" w:space="0" w:color="auto"/>
      </w:divBdr>
    </w:div>
    <w:div w:id="1180774057">
      <w:bodyDiv w:val="1"/>
      <w:marLeft w:val="0"/>
      <w:marRight w:val="0"/>
      <w:marTop w:val="0"/>
      <w:marBottom w:val="0"/>
      <w:divBdr>
        <w:top w:val="none" w:sz="0" w:space="0" w:color="auto"/>
        <w:left w:val="none" w:sz="0" w:space="0" w:color="auto"/>
        <w:bottom w:val="none" w:sz="0" w:space="0" w:color="auto"/>
        <w:right w:val="none" w:sz="0" w:space="0" w:color="auto"/>
      </w:divBdr>
    </w:div>
    <w:div w:id="1216819337">
      <w:bodyDiv w:val="1"/>
      <w:marLeft w:val="0"/>
      <w:marRight w:val="0"/>
      <w:marTop w:val="0"/>
      <w:marBottom w:val="0"/>
      <w:divBdr>
        <w:top w:val="none" w:sz="0" w:space="0" w:color="auto"/>
        <w:left w:val="none" w:sz="0" w:space="0" w:color="auto"/>
        <w:bottom w:val="none" w:sz="0" w:space="0" w:color="auto"/>
        <w:right w:val="none" w:sz="0" w:space="0" w:color="auto"/>
      </w:divBdr>
    </w:div>
    <w:div w:id="1394811813">
      <w:bodyDiv w:val="1"/>
      <w:marLeft w:val="0"/>
      <w:marRight w:val="0"/>
      <w:marTop w:val="0"/>
      <w:marBottom w:val="0"/>
      <w:divBdr>
        <w:top w:val="none" w:sz="0" w:space="0" w:color="auto"/>
        <w:left w:val="none" w:sz="0" w:space="0" w:color="auto"/>
        <w:bottom w:val="none" w:sz="0" w:space="0" w:color="auto"/>
        <w:right w:val="none" w:sz="0" w:space="0" w:color="auto"/>
      </w:divBdr>
    </w:div>
    <w:div w:id="1397706399">
      <w:bodyDiv w:val="1"/>
      <w:marLeft w:val="0"/>
      <w:marRight w:val="0"/>
      <w:marTop w:val="0"/>
      <w:marBottom w:val="0"/>
      <w:divBdr>
        <w:top w:val="none" w:sz="0" w:space="0" w:color="auto"/>
        <w:left w:val="none" w:sz="0" w:space="0" w:color="auto"/>
        <w:bottom w:val="none" w:sz="0" w:space="0" w:color="auto"/>
        <w:right w:val="none" w:sz="0" w:space="0" w:color="auto"/>
      </w:divBdr>
    </w:div>
    <w:div w:id="1478958174">
      <w:bodyDiv w:val="1"/>
      <w:marLeft w:val="0"/>
      <w:marRight w:val="0"/>
      <w:marTop w:val="0"/>
      <w:marBottom w:val="0"/>
      <w:divBdr>
        <w:top w:val="none" w:sz="0" w:space="0" w:color="auto"/>
        <w:left w:val="none" w:sz="0" w:space="0" w:color="auto"/>
        <w:bottom w:val="none" w:sz="0" w:space="0" w:color="auto"/>
        <w:right w:val="none" w:sz="0" w:space="0" w:color="auto"/>
      </w:divBdr>
    </w:div>
    <w:div w:id="1493638796">
      <w:bodyDiv w:val="1"/>
      <w:marLeft w:val="0"/>
      <w:marRight w:val="0"/>
      <w:marTop w:val="0"/>
      <w:marBottom w:val="0"/>
      <w:divBdr>
        <w:top w:val="none" w:sz="0" w:space="0" w:color="auto"/>
        <w:left w:val="none" w:sz="0" w:space="0" w:color="auto"/>
        <w:bottom w:val="none" w:sz="0" w:space="0" w:color="auto"/>
        <w:right w:val="none" w:sz="0" w:space="0" w:color="auto"/>
      </w:divBdr>
    </w:div>
    <w:div w:id="1563980868">
      <w:bodyDiv w:val="1"/>
      <w:marLeft w:val="0"/>
      <w:marRight w:val="0"/>
      <w:marTop w:val="0"/>
      <w:marBottom w:val="0"/>
      <w:divBdr>
        <w:top w:val="none" w:sz="0" w:space="0" w:color="auto"/>
        <w:left w:val="none" w:sz="0" w:space="0" w:color="auto"/>
        <w:bottom w:val="none" w:sz="0" w:space="0" w:color="auto"/>
        <w:right w:val="none" w:sz="0" w:space="0" w:color="auto"/>
      </w:divBdr>
    </w:div>
    <w:div w:id="1592395157">
      <w:bodyDiv w:val="1"/>
      <w:marLeft w:val="0"/>
      <w:marRight w:val="0"/>
      <w:marTop w:val="0"/>
      <w:marBottom w:val="0"/>
      <w:divBdr>
        <w:top w:val="none" w:sz="0" w:space="0" w:color="auto"/>
        <w:left w:val="none" w:sz="0" w:space="0" w:color="auto"/>
        <w:bottom w:val="none" w:sz="0" w:space="0" w:color="auto"/>
        <w:right w:val="none" w:sz="0" w:space="0" w:color="auto"/>
      </w:divBdr>
    </w:div>
    <w:div w:id="1721516791">
      <w:bodyDiv w:val="1"/>
      <w:marLeft w:val="0"/>
      <w:marRight w:val="0"/>
      <w:marTop w:val="0"/>
      <w:marBottom w:val="0"/>
      <w:divBdr>
        <w:top w:val="none" w:sz="0" w:space="0" w:color="auto"/>
        <w:left w:val="none" w:sz="0" w:space="0" w:color="auto"/>
        <w:bottom w:val="none" w:sz="0" w:space="0" w:color="auto"/>
        <w:right w:val="none" w:sz="0" w:space="0" w:color="auto"/>
      </w:divBdr>
    </w:div>
    <w:div w:id="1887645935">
      <w:bodyDiv w:val="1"/>
      <w:marLeft w:val="0"/>
      <w:marRight w:val="0"/>
      <w:marTop w:val="0"/>
      <w:marBottom w:val="0"/>
      <w:divBdr>
        <w:top w:val="none" w:sz="0" w:space="0" w:color="auto"/>
        <w:left w:val="none" w:sz="0" w:space="0" w:color="auto"/>
        <w:bottom w:val="none" w:sz="0" w:space="0" w:color="auto"/>
        <w:right w:val="none" w:sz="0" w:space="0" w:color="auto"/>
      </w:divBdr>
    </w:div>
    <w:div w:id="1903716138">
      <w:bodyDiv w:val="1"/>
      <w:marLeft w:val="0"/>
      <w:marRight w:val="0"/>
      <w:marTop w:val="0"/>
      <w:marBottom w:val="0"/>
      <w:divBdr>
        <w:top w:val="none" w:sz="0" w:space="0" w:color="auto"/>
        <w:left w:val="none" w:sz="0" w:space="0" w:color="auto"/>
        <w:bottom w:val="none" w:sz="0" w:space="0" w:color="auto"/>
        <w:right w:val="none" w:sz="0" w:space="0" w:color="auto"/>
      </w:divBdr>
    </w:div>
    <w:div w:id="1926452899">
      <w:bodyDiv w:val="1"/>
      <w:marLeft w:val="0"/>
      <w:marRight w:val="0"/>
      <w:marTop w:val="0"/>
      <w:marBottom w:val="0"/>
      <w:divBdr>
        <w:top w:val="none" w:sz="0" w:space="0" w:color="auto"/>
        <w:left w:val="none" w:sz="0" w:space="0" w:color="auto"/>
        <w:bottom w:val="none" w:sz="0" w:space="0" w:color="auto"/>
        <w:right w:val="none" w:sz="0" w:space="0" w:color="auto"/>
      </w:divBdr>
    </w:div>
    <w:div w:id="1961183040">
      <w:bodyDiv w:val="1"/>
      <w:marLeft w:val="0"/>
      <w:marRight w:val="0"/>
      <w:marTop w:val="0"/>
      <w:marBottom w:val="0"/>
      <w:divBdr>
        <w:top w:val="none" w:sz="0" w:space="0" w:color="auto"/>
        <w:left w:val="none" w:sz="0" w:space="0" w:color="auto"/>
        <w:bottom w:val="none" w:sz="0" w:space="0" w:color="auto"/>
        <w:right w:val="none" w:sz="0" w:space="0" w:color="auto"/>
      </w:divBdr>
    </w:div>
    <w:div w:id="1961953383">
      <w:bodyDiv w:val="1"/>
      <w:marLeft w:val="0"/>
      <w:marRight w:val="0"/>
      <w:marTop w:val="0"/>
      <w:marBottom w:val="0"/>
      <w:divBdr>
        <w:top w:val="none" w:sz="0" w:space="0" w:color="auto"/>
        <w:left w:val="none" w:sz="0" w:space="0" w:color="auto"/>
        <w:bottom w:val="none" w:sz="0" w:space="0" w:color="auto"/>
        <w:right w:val="none" w:sz="0" w:space="0" w:color="auto"/>
      </w:divBdr>
    </w:div>
    <w:div w:id="2064325875">
      <w:bodyDiv w:val="1"/>
      <w:marLeft w:val="0"/>
      <w:marRight w:val="0"/>
      <w:marTop w:val="0"/>
      <w:marBottom w:val="0"/>
      <w:divBdr>
        <w:top w:val="none" w:sz="0" w:space="0" w:color="auto"/>
        <w:left w:val="none" w:sz="0" w:space="0" w:color="auto"/>
        <w:bottom w:val="none" w:sz="0" w:space="0" w:color="auto"/>
        <w:right w:val="none" w:sz="0" w:space="0" w:color="auto"/>
      </w:divBdr>
    </w:div>
    <w:div w:id="2079012656">
      <w:bodyDiv w:val="1"/>
      <w:marLeft w:val="0"/>
      <w:marRight w:val="0"/>
      <w:marTop w:val="0"/>
      <w:marBottom w:val="0"/>
      <w:divBdr>
        <w:top w:val="none" w:sz="0" w:space="0" w:color="auto"/>
        <w:left w:val="none" w:sz="0" w:space="0" w:color="auto"/>
        <w:bottom w:val="none" w:sz="0" w:space="0" w:color="auto"/>
        <w:right w:val="none" w:sz="0" w:space="0" w:color="auto"/>
      </w:divBdr>
    </w:div>
    <w:div w:id="2106877280">
      <w:bodyDiv w:val="1"/>
      <w:marLeft w:val="0"/>
      <w:marRight w:val="0"/>
      <w:marTop w:val="0"/>
      <w:marBottom w:val="0"/>
      <w:divBdr>
        <w:top w:val="none" w:sz="0" w:space="0" w:color="auto"/>
        <w:left w:val="none" w:sz="0" w:space="0" w:color="auto"/>
        <w:bottom w:val="none" w:sz="0" w:space="0" w:color="auto"/>
        <w:right w:val="none" w:sz="0" w:space="0" w:color="auto"/>
      </w:divBdr>
    </w:div>
    <w:div w:id="21387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EDB0E-29B1-4DDB-A346-96B2247222DD}">
  <ds:schemaRefs>
    <ds:schemaRef ds:uri="http://schemas.openxmlformats.org/officeDocument/2006/bibliography"/>
  </ds:schemaRefs>
</ds:datastoreItem>
</file>

<file path=customXml/itemProps2.xml><?xml version="1.0" encoding="utf-8"?>
<ds:datastoreItem xmlns:ds="http://schemas.openxmlformats.org/officeDocument/2006/customXml" ds:itemID="{2255F2B6-6ED7-4C1A-A9C1-701C64C734E6}"/>
</file>

<file path=customXml/itemProps3.xml><?xml version="1.0" encoding="utf-8"?>
<ds:datastoreItem xmlns:ds="http://schemas.openxmlformats.org/officeDocument/2006/customXml" ds:itemID="{A246A75B-7796-44EC-AF06-BEAFD04145B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0303447D-5A4F-401E-ABEE-798553DF8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8</Pages>
  <Words>2649</Words>
  <Characters>15369</Characters>
  <Application>Microsoft Office Word</Application>
  <DocSecurity>0</DocSecurity>
  <Lines>128</Lines>
  <Paragraphs>35</Paragraphs>
  <ScaleCrop>false</ScaleCrop>
  <Company>Justiitsministeerium</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Merje Vessmann - RK</cp:lastModifiedBy>
  <cp:revision>267</cp:revision>
  <cp:lastPrinted>2023-03-15T10:19:00Z</cp:lastPrinted>
  <dcterms:created xsi:type="dcterms:W3CDTF">2026-03-20T13:13:00Z</dcterms:created>
  <dcterms:modified xsi:type="dcterms:W3CDTF">2026-05-19T07:06:00Z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2025-01-06T11:41:14Z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22d104b5-8431-428e-ba43-edbfff6b4aea</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